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B540" w14:textId="0F7BFF82" w:rsidR="0056372B" w:rsidRDefault="0056372B" w:rsidP="0032317E">
      <w:pPr>
        <w:tabs>
          <w:tab w:val="left" w:pos="1980"/>
        </w:tabs>
        <w:spacing w:line="238" w:lineRule="auto"/>
        <w:jc w:val="center"/>
        <w:rPr>
          <w:b/>
        </w:rPr>
      </w:pPr>
      <w:bookmarkStart w:id="0" w:name="_GoBack"/>
      <w:bookmarkEnd w:id="0"/>
      <w:r>
        <w:rPr>
          <w:b/>
        </w:rPr>
        <w:t>Attachment 2</w:t>
      </w:r>
    </w:p>
    <w:p w14:paraId="3787F1EB" w14:textId="721D11C2" w:rsidR="009F0F41" w:rsidRDefault="009F0F41" w:rsidP="0032317E">
      <w:pPr>
        <w:tabs>
          <w:tab w:val="left" w:pos="1980"/>
        </w:tabs>
        <w:spacing w:line="238" w:lineRule="auto"/>
        <w:jc w:val="center"/>
        <w:rPr>
          <w:b/>
        </w:rPr>
      </w:pPr>
      <w:r>
        <w:rPr>
          <w:b/>
        </w:rPr>
        <w:t>Department of Defense</w:t>
      </w:r>
    </w:p>
    <w:p w14:paraId="5FA016B7" w14:textId="7DB6F7B8" w:rsidR="00347A38" w:rsidRDefault="00F068B7" w:rsidP="0032317E">
      <w:pPr>
        <w:tabs>
          <w:tab w:val="left" w:pos="1980"/>
        </w:tabs>
        <w:spacing w:line="238" w:lineRule="auto"/>
        <w:jc w:val="center"/>
        <w:rPr>
          <w:b/>
        </w:rPr>
      </w:pPr>
      <w:r w:rsidRPr="00635D77">
        <w:rPr>
          <w:b/>
        </w:rPr>
        <w:t>20</w:t>
      </w:r>
      <w:r>
        <w:rPr>
          <w:b/>
        </w:rPr>
        <w:t>20</w:t>
      </w:r>
      <w:r w:rsidRPr="00635D77">
        <w:rPr>
          <w:b/>
        </w:rPr>
        <w:t xml:space="preserve"> </w:t>
      </w:r>
      <w:r w:rsidR="0030751F" w:rsidRPr="00635D77">
        <w:rPr>
          <w:b/>
        </w:rPr>
        <w:t>Acquisition Workforce</w:t>
      </w:r>
      <w:r w:rsidR="0032317E" w:rsidRPr="00635D77">
        <w:rPr>
          <w:b/>
        </w:rPr>
        <w:t xml:space="preserve"> </w:t>
      </w:r>
      <w:r w:rsidR="0030751F" w:rsidRPr="00635D77">
        <w:rPr>
          <w:b/>
        </w:rPr>
        <w:t xml:space="preserve">Individual </w:t>
      </w:r>
      <w:r w:rsidR="00347A38" w:rsidRPr="00635D77">
        <w:rPr>
          <w:b/>
        </w:rPr>
        <w:t>Achievement Award</w:t>
      </w:r>
    </w:p>
    <w:p w14:paraId="19C3C371" w14:textId="26DE6960" w:rsidR="0056372B" w:rsidRPr="00635D77" w:rsidRDefault="00792999" w:rsidP="0032317E">
      <w:pPr>
        <w:tabs>
          <w:tab w:val="left" w:pos="1980"/>
        </w:tabs>
        <w:spacing w:line="238" w:lineRule="auto"/>
        <w:jc w:val="center"/>
        <w:rPr>
          <w:b/>
        </w:rPr>
      </w:pPr>
      <w:r>
        <w:rPr>
          <w:b/>
        </w:rPr>
        <w:t xml:space="preserve">Nomination </w:t>
      </w:r>
      <w:r w:rsidR="0056372B">
        <w:rPr>
          <w:b/>
        </w:rPr>
        <w:t>Instructions</w:t>
      </w:r>
    </w:p>
    <w:p w14:paraId="1B9462F8" w14:textId="77777777" w:rsidR="00347A38" w:rsidRPr="00635D77" w:rsidRDefault="00347A38" w:rsidP="00173DCC">
      <w:pPr>
        <w:spacing w:line="238" w:lineRule="auto"/>
        <w:jc w:val="center"/>
        <w:rPr>
          <w:b/>
          <w:u w:val="single"/>
        </w:rPr>
      </w:pPr>
    </w:p>
    <w:p w14:paraId="26A57A92" w14:textId="415D8B58" w:rsidR="00347A38" w:rsidRPr="005242A7" w:rsidRDefault="00347A38" w:rsidP="00173DCC">
      <w:pPr>
        <w:spacing w:line="238" w:lineRule="auto"/>
        <w:rPr>
          <w:b/>
        </w:rPr>
      </w:pPr>
      <w:r w:rsidRPr="005242A7">
        <w:rPr>
          <w:b/>
        </w:rPr>
        <w:t>Please read th</w:t>
      </w:r>
      <w:r w:rsidR="00170EC0">
        <w:rPr>
          <w:b/>
        </w:rPr>
        <w:t>is</w:t>
      </w:r>
      <w:r w:rsidRPr="005242A7">
        <w:rPr>
          <w:b/>
        </w:rPr>
        <w:t xml:space="preserve"> carefully before completing and submitting th</w:t>
      </w:r>
      <w:r w:rsidR="00DA72DD">
        <w:rPr>
          <w:b/>
        </w:rPr>
        <w:t>e nomination</w:t>
      </w:r>
      <w:r w:rsidR="00007B00">
        <w:rPr>
          <w:b/>
        </w:rPr>
        <w:t>(s)</w:t>
      </w:r>
      <w:r w:rsidR="00BA6AE0" w:rsidRPr="005242A7">
        <w:rPr>
          <w:b/>
        </w:rPr>
        <w:t>.</w:t>
      </w:r>
    </w:p>
    <w:p w14:paraId="355BE88A" w14:textId="77777777" w:rsidR="00347A38" w:rsidRPr="00635D77" w:rsidRDefault="00347A38" w:rsidP="00173DCC">
      <w:pPr>
        <w:spacing w:line="238" w:lineRule="auto"/>
      </w:pPr>
    </w:p>
    <w:p w14:paraId="21F4C423" w14:textId="1C497193" w:rsidR="00347A38" w:rsidRDefault="00347A38" w:rsidP="00BA259A">
      <w:pPr>
        <w:suppressAutoHyphens/>
        <w:spacing w:line="238" w:lineRule="auto"/>
      </w:pPr>
      <w:r w:rsidRPr="00635D77">
        <w:rPr>
          <w:b/>
          <w:u w:val="single"/>
        </w:rPr>
        <w:t>Background</w:t>
      </w:r>
      <w:r w:rsidR="00AB2AB1" w:rsidRPr="005242A7">
        <w:rPr>
          <w:b/>
          <w:u w:val="single"/>
        </w:rPr>
        <w:t>:</w:t>
      </w:r>
      <w:r w:rsidR="00AB2AB1" w:rsidRPr="00635D77">
        <w:rPr>
          <w:b/>
        </w:rPr>
        <w:t xml:space="preserve">  </w:t>
      </w:r>
      <w:r w:rsidRPr="00635D77">
        <w:t xml:space="preserve">The </w:t>
      </w:r>
      <w:r w:rsidR="008146C3">
        <w:t xml:space="preserve">2020 </w:t>
      </w:r>
      <w:r w:rsidR="00BA6AE0" w:rsidRPr="00635D77">
        <w:t xml:space="preserve">Defense Acquisition Workforce Individual </w:t>
      </w:r>
      <w:r w:rsidRPr="00635D77">
        <w:t xml:space="preserve">Achievement Award </w:t>
      </w:r>
      <w:r w:rsidR="004F6118">
        <w:t>is the acquisition</w:t>
      </w:r>
      <w:r w:rsidR="008146C3">
        <w:t xml:space="preserve"> community’s opportunity to recogni</w:t>
      </w:r>
      <w:r w:rsidR="002A721E" w:rsidRPr="00635D77">
        <w:t xml:space="preserve">ze individuals who demonstrate the highest levels of excellence </w:t>
      </w:r>
      <w:r w:rsidR="00170EC0">
        <w:t>a</w:t>
      </w:r>
      <w:r w:rsidR="002B54C5" w:rsidRPr="00635D77">
        <w:t xml:space="preserve">nd professionalism </w:t>
      </w:r>
      <w:r w:rsidR="002A721E" w:rsidRPr="00635D77">
        <w:t xml:space="preserve">in </w:t>
      </w:r>
      <w:r w:rsidR="008146C3">
        <w:t xml:space="preserve">developing, acquiring and sustaining operational capability that </w:t>
      </w:r>
      <w:r w:rsidR="007302A3" w:rsidRPr="00635D77">
        <w:t>“</w:t>
      </w:r>
      <w:r w:rsidR="00DF0887" w:rsidRPr="00635D77">
        <w:t>support</w:t>
      </w:r>
      <w:r w:rsidR="008146C3">
        <w:t>s</w:t>
      </w:r>
      <w:r w:rsidR="00DF0887" w:rsidRPr="00635D77">
        <w:t xml:space="preserve"> the warfighter and protect</w:t>
      </w:r>
      <w:r w:rsidR="008146C3">
        <w:t>s</w:t>
      </w:r>
      <w:r w:rsidR="00DF0887" w:rsidRPr="00635D77">
        <w:t xml:space="preserve"> the taxpayer</w:t>
      </w:r>
      <w:r w:rsidR="002A721E" w:rsidRPr="00635D77">
        <w:t>.</w:t>
      </w:r>
      <w:r w:rsidR="007302A3" w:rsidRPr="00635D77">
        <w:t>”</w:t>
      </w:r>
      <w:r w:rsidR="003254B0" w:rsidRPr="00635D77">
        <w:t xml:space="preserve">  </w:t>
      </w:r>
      <w:r w:rsidR="008146C3">
        <w:t xml:space="preserve">During 2020, our community has </w:t>
      </w:r>
      <w:r w:rsidR="00170EC0">
        <w:t xml:space="preserve">worked hard to </w:t>
      </w:r>
      <w:r w:rsidR="008146C3">
        <w:t xml:space="preserve">support the National Defense Strategy to increase readiness and lethality while also stepping up to support the Nation’s fight against </w:t>
      </w:r>
      <w:r w:rsidR="008146C3" w:rsidRPr="00EE58FD">
        <w:t xml:space="preserve">COVID-19.  </w:t>
      </w:r>
      <w:r w:rsidR="001C3B72">
        <w:t xml:space="preserve">This is a great leadership opportunity to </w:t>
      </w:r>
      <w:r w:rsidR="00230263" w:rsidRPr="00EE58FD">
        <w:t xml:space="preserve">thank and recognize the workforce, </w:t>
      </w:r>
      <w:r w:rsidR="001C3B72">
        <w:t>nominating</w:t>
      </w:r>
      <w:r w:rsidR="00230263" w:rsidRPr="00EE58FD">
        <w:t xml:space="preserve"> the best-of-</w:t>
      </w:r>
      <w:r w:rsidR="00EE58FD" w:rsidRPr="00EE58FD">
        <w:t>the-</w:t>
      </w:r>
      <w:r w:rsidR="00230263" w:rsidRPr="00EE58FD">
        <w:t xml:space="preserve">best </w:t>
      </w:r>
      <w:r w:rsidR="00884799">
        <w:t xml:space="preserve">from the many </w:t>
      </w:r>
      <w:r w:rsidR="00230263" w:rsidRPr="00EE58FD">
        <w:t>outstanding professionals in each of our functional disciplines.</w:t>
      </w:r>
      <w:r w:rsidR="00230263">
        <w:t xml:space="preserve">  </w:t>
      </w:r>
      <w:r w:rsidR="0003413B">
        <w:t xml:space="preserve">Additional information on the award </w:t>
      </w:r>
      <w:r w:rsidR="00200184">
        <w:t>and past winners are</w:t>
      </w:r>
      <w:r w:rsidR="0003413B">
        <w:t xml:space="preserve"> available at: </w:t>
      </w:r>
      <w:r w:rsidR="00D80732" w:rsidRPr="00D80732">
        <w:t>https://www.hci.mil/what-we-do/Awards.html</w:t>
      </w:r>
      <w:r w:rsidR="00093007">
        <w:t>.</w:t>
      </w:r>
    </w:p>
    <w:p w14:paraId="46152990" w14:textId="77777777" w:rsidR="005865C7" w:rsidRPr="00635D77" w:rsidRDefault="005865C7" w:rsidP="00173DCC">
      <w:pPr>
        <w:spacing w:line="238" w:lineRule="auto"/>
      </w:pPr>
    </w:p>
    <w:p w14:paraId="045A0B82" w14:textId="07B97117" w:rsidR="00F068B7" w:rsidRPr="00635D77" w:rsidRDefault="00347A38" w:rsidP="00173DCC">
      <w:pPr>
        <w:spacing w:line="238" w:lineRule="auto"/>
      </w:pPr>
      <w:r w:rsidRPr="00635D77">
        <w:rPr>
          <w:b/>
          <w:u w:val="single"/>
        </w:rPr>
        <w:t>Eligibility</w:t>
      </w:r>
      <w:r w:rsidRPr="005242A7">
        <w:rPr>
          <w:b/>
          <w:u w:val="single"/>
        </w:rPr>
        <w:t>:</w:t>
      </w:r>
      <w:r w:rsidRPr="00635D77">
        <w:rPr>
          <w:b/>
        </w:rPr>
        <w:t xml:space="preserve">  </w:t>
      </w:r>
      <w:r w:rsidR="007B64EB" w:rsidRPr="00635D77">
        <w:t xml:space="preserve">All members of the </w:t>
      </w:r>
      <w:r w:rsidRPr="00635D77">
        <w:t>Defense Acquisition Workforce</w:t>
      </w:r>
      <w:r w:rsidR="00BF4EBF">
        <w:t xml:space="preserve"> (AWF)</w:t>
      </w:r>
      <w:r w:rsidRPr="00635D77">
        <w:t xml:space="preserve"> </w:t>
      </w:r>
      <w:r w:rsidR="007B64EB" w:rsidRPr="00635D77">
        <w:t>(military and civilian)</w:t>
      </w:r>
      <w:r w:rsidR="0086401E" w:rsidRPr="00635D77">
        <w:t xml:space="preserve"> </w:t>
      </w:r>
      <w:proofErr w:type="gramStart"/>
      <w:r w:rsidR="0086401E" w:rsidRPr="00635D77">
        <w:t>are</w:t>
      </w:r>
      <w:proofErr w:type="gramEnd"/>
      <w:r w:rsidR="0086401E" w:rsidRPr="00635D77">
        <w:t xml:space="preserve"> eligible for the Individual Achievement Award</w:t>
      </w:r>
      <w:r w:rsidR="000F5DF6">
        <w:t xml:space="preserve">.  </w:t>
      </w:r>
      <w:r w:rsidR="00913D94">
        <w:t>The n</w:t>
      </w:r>
      <w:r w:rsidR="000F5DF6">
        <w:t>ominee</w:t>
      </w:r>
      <w:r w:rsidR="00913D94">
        <w:t xml:space="preserve"> for a functional area must encumber a position </w:t>
      </w:r>
      <w:r w:rsidR="00B84693">
        <w:t>designated for t</w:t>
      </w:r>
      <w:r w:rsidR="000F5DF6">
        <w:t xml:space="preserve">he </w:t>
      </w:r>
      <w:r w:rsidR="0086401E">
        <w:t>functional area</w:t>
      </w:r>
      <w:r w:rsidR="0086401E" w:rsidRPr="00635D77">
        <w:t>.</w:t>
      </w:r>
      <w:r w:rsidR="00BF4EBF">
        <w:t xml:space="preserve">  </w:t>
      </w:r>
      <w:r w:rsidR="000F5DF6" w:rsidRPr="00635D77">
        <w:t xml:space="preserve">For example, nominating an individual for the Individual Achievement Award for Program Management is appropriate if their position is designated program management.  </w:t>
      </w:r>
      <w:r w:rsidR="00B84693">
        <w:t>AWF members</w:t>
      </w:r>
      <w:r w:rsidR="00BF4EBF">
        <w:t xml:space="preserve"> in </w:t>
      </w:r>
      <w:r w:rsidR="0086401E" w:rsidRPr="00635D77">
        <w:t>Component offices for Acquisition Career Management</w:t>
      </w:r>
      <w:r w:rsidR="0086401E">
        <w:t xml:space="preserve">, </w:t>
      </w:r>
      <w:r w:rsidR="00025216" w:rsidRPr="00635D77">
        <w:t xml:space="preserve">the Office of Human Capital Initiatives (HCI), </w:t>
      </w:r>
      <w:r w:rsidR="0086401E">
        <w:t xml:space="preserve">and </w:t>
      </w:r>
      <w:r w:rsidR="00025216" w:rsidRPr="00635D77">
        <w:t>the</w:t>
      </w:r>
      <w:r w:rsidR="00B84693">
        <w:t xml:space="preserve"> Defense Acquisition University</w:t>
      </w:r>
      <w:r w:rsidR="00F23798">
        <w:t xml:space="preserve"> are not eligible for this </w:t>
      </w:r>
      <w:r w:rsidR="00B84693">
        <w:t>award.</w:t>
      </w:r>
      <w:r w:rsidR="002B54C5" w:rsidRPr="00635D77">
        <w:t xml:space="preserve">  </w:t>
      </w:r>
      <w:r w:rsidR="00931A33" w:rsidRPr="00E3552C">
        <w:rPr>
          <w:color w:val="000000"/>
        </w:rPr>
        <w:t xml:space="preserve">The award </w:t>
      </w:r>
      <w:r w:rsidR="00931A33" w:rsidRPr="00E3552C">
        <w:t>period is July 1, 2019 through June 30, 2020.</w:t>
      </w:r>
      <w:r w:rsidR="00931A33" w:rsidRPr="00635D77">
        <w:t xml:space="preserve">  </w:t>
      </w:r>
      <w:r w:rsidR="00931A33">
        <w:t>A</w:t>
      </w:r>
      <w:r w:rsidR="00931A33" w:rsidRPr="00635D77">
        <w:t xml:space="preserve">chievements </w:t>
      </w:r>
      <w:r w:rsidR="00931A33">
        <w:t>resulting from efforts starting before July 1, 2019 m</w:t>
      </w:r>
      <w:r w:rsidR="00931A33" w:rsidRPr="00635D77">
        <w:t xml:space="preserve">ay be </w:t>
      </w:r>
      <w:r w:rsidR="00931A33">
        <w:t>included</w:t>
      </w:r>
      <w:r w:rsidR="00931A33" w:rsidRPr="00635D77">
        <w:t xml:space="preserve">, but the culmination of the </w:t>
      </w:r>
      <w:r w:rsidR="00931A33">
        <w:t xml:space="preserve">achievement </w:t>
      </w:r>
      <w:r w:rsidR="00931A33" w:rsidRPr="00635D77">
        <w:t xml:space="preserve">must be within the </w:t>
      </w:r>
      <w:r w:rsidR="00931A33">
        <w:t xml:space="preserve">award period.  </w:t>
      </w:r>
    </w:p>
    <w:p w14:paraId="4F91536D" w14:textId="77777777" w:rsidR="00FB23D1" w:rsidRPr="00635D77" w:rsidRDefault="00FB23D1" w:rsidP="00173DCC">
      <w:pPr>
        <w:spacing w:line="238" w:lineRule="auto"/>
      </w:pPr>
    </w:p>
    <w:p w14:paraId="153A5BAF" w14:textId="7F6EA1F7" w:rsidR="00494BC7" w:rsidRPr="00635D77" w:rsidRDefault="007C5C4F" w:rsidP="005242A7">
      <w:pPr>
        <w:spacing w:after="120" w:line="238" w:lineRule="auto"/>
        <w:rPr>
          <w:color w:val="000000"/>
        </w:rPr>
      </w:pPr>
      <w:r w:rsidRPr="00635D77">
        <w:rPr>
          <w:b/>
          <w:color w:val="000000"/>
          <w:u w:val="single"/>
        </w:rPr>
        <w:t>Evaluation</w:t>
      </w:r>
      <w:r w:rsidR="00494BC7" w:rsidRPr="005242A7">
        <w:rPr>
          <w:b/>
          <w:color w:val="000000"/>
          <w:u w:val="single"/>
        </w:rPr>
        <w:t>:</w:t>
      </w:r>
      <w:r w:rsidR="00494BC7" w:rsidRPr="00635D77">
        <w:rPr>
          <w:color w:val="000000"/>
        </w:rPr>
        <w:t xml:space="preserve">  </w:t>
      </w:r>
      <w:r w:rsidR="00432BE2" w:rsidRPr="00635D77">
        <w:rPr>
          <w:color w:val="000000"/>
        </w:rPr>
        <w:t xml:space="preserve">Nominations will </w:t>
      </w:r>
      <w:r w:rsidR="00D66E1F" w:rsidRPr="00635D77">
        <w:rPr>
          <w:color w:val="000000"/>
        </w:rPr>
        <w:t xml:space="preserve">be </w:t>
      </w:r>
      <w:r w:rsidR="00432BE2" w:rsidRPr="00635D77">
        <w:rPr>
          <w:color w:val="000000"/>
        </w:rPr>
        <w:t xml:space="preserve">considered </w:t>
      </w:r>
      <w:r w:rsidR="00494BC7" w:rsidRPr="00635D77">
        <w:rPr>
          <w:color w:val="000000"/>
        </w:rPr>
        <w:t xml:space="preserve">based on </w:t>
      </w:r>
      <w:r w:rsidR="00432BE2" w:rsidRPr="00635D77">
        <w:rPr>
          <w:color w:val="000000"/>
        </w:rPr>
        <w:t xml:space="preserve">demonstrated excellence and contribution </w:t>
      </w:r>
      <w:r w:rsidR="008C07CD" w:rsidRPr="00635D77">
        <w:rPr>
          <w:color w:val="000000"/>
        </w:rPr>
        <w:t>to acquisition mission success in the following areas</w:t>
      </w:r>
      <w:r w:rsidR="001E6681" w:rsidRPr="00635D77">
        <w:rPr>
          <w:color w:val="000000"/>
        </w:rPr>
        <w:t xml:space="preserve">:  </w:t>
      </w:r>
    </w:p>
    <w:p w14:paraId="67440F28" w14:textId="06FD19E7" w:rsidR="00494BC7" w:rsidRPr="00635D77" w:rsidRDefault="00494BC7" w:rsidP="005242A7">
      <w:pPr>
        <w:numPr>
          <w:ilvl w:val="0"/>
          <w:numId w:val="4"/>
        </w:numPr>
        <w:spacing w:after="120" w:line="238" w:lineRule="auto"/>
        <w:ind w:left="630" w:hanging="270"/>
      </w:pPr>
      <w:r w:rsidRPr="00635D77">
        <w:t xml:space="preserve"> </w:t>
      </w:r>
      <w:r w:rsidR="008F2896">
        <w:rPr>
          <w:u w:val="single"/>
        </w:rPr>
        <w:t>Specific achievements</w:t>
      </w:r>
      <w:r w:rsidR="00931A33">
        <w:rPr>
          <w:u w:val="single"/>
        </w:rPr>
        <w:t xml:space="preserve">,  </w:t>
      </w:r>
      <w:r w:rsidR="004F6118">
        <w:t xml:space="preserve"> </w:t>
      </w:r>
      <w:r w:rsidR="006A7486" w:rsidRPr="00635D77">
        <w:t>Examples include, but are not limited to</w:t>
      </w:r>
      <w:r w:rsidR="00931A33">
        <w:t xml:space="preserve"> improvements </w:t>
      </w:r>
      <w:r w:rsidR="006A7486" w:rsidRPr="00635D77">
        <w:t>cost, schedule, performance, process improvements</w:t>
      </w:r>
      <w:r w:rsidR="006A7486">
        <w:t>,</w:t>
      </w:r>
      <w:r w:rsidR="006A7486" w:rsidRPr="00635D77">
        <w:t xml:space="preserve"> and efficiency gains.</w:t>
      </w:r>
      <w:r w:rsidR="006A7486">
        <w:t xml:space="preserve">  </w:t>
      </w:r>
      <w:r w:rsidR="0043307A" w:rsidRPr="00635D77">
        <w:t xml:space="preserve">Quantifiable </w:t>
      </w:r>
      <w:r w:rsidR="00BF4EBF">
        <w:t>descriptions</w:t>
      </w:r>
      <w:r w:rsidR="0043307A" w:rsidRPr="00635D77">
        <w:t xml:space="preserve"> of achievements </w:t>
      </w:r>
      <w:r w:rsidR="008F2896">
        <w:t>strengthen</w:t>
      </w:r>
      <w:r w:rsidR="006001B3">
        <w:t>s</w:t>
      </w:r>
      <w:r w:rsidR="008F2896">
        <w:t xml:space="preserve"> the nomination.</w:t>
      </w:r>
      <w:r w:rsidR="00C82B79">
        <w:t xml:space="preserve">  </w:t>
      </w:r>
    </w:p>
    <w:p w14:paraId="43B9B3D6" w14:textId="4DEC1906" w:rsidR="00494BC7" w:rsidRPr="00635D77" w:rsidRDefault="00494BC7" w:rsidP="005242A7">
      <w:pPr>
        <w:numPr>
          <w:ilvl w:val="0"/>
          <w:numId w:val="4"/>
        </w:numPr>
        <w:spacing w:after="120" w:line="238" w:lineRule="auto"/>
        <w:ind w:left="630" w:hanging="270"/>
      </w:pPr>
      <w:r w:rsidRPr="00635D77">
        <w:t xml:space="preserve"> </w:t>
      </w:r>
      <w:r w:rsidRPr="00635D77">
        <w:rPr>
          <w:u w:val="single"/>
        </w:rPr>
        <w:t>Value of the nominee’s contributions</w:t>
      </w:r>
      <w:r w:rsidRPr="00635D77">
        <w:t xml:space="preserve"> during the award period to </w:t>
      </w:r>
      <w:r w:rsidR="006A7486">
        <w:t xml:space="preserve">achieve </w:t>
      </w:r>
      <w:r w:rsidR="00C72C52">
        <w:t xml:space="preserve">program, </w:t>
      </w:r>
      <w:r w:rsidR="00531D84" w:rsidRPr="00635D77">
        <w:t xml:space="preserve">organization, </w:t>
      </w:r>
      <w:r w:rsidR="001A34AD" w:rsidRPr="00635D77">
        <w:t>C</w:t>
      </w:r>
      <w:r w:rsidR="00531D84" w:rsidRPr="00635D77">
        <w:t>omponent</w:t>
      </w:r>
      <w:r w:rsidR="001A34AD" w:rsidRPr="00635D77">
        <w:t>,</w:t>
      </w:r>
      <w:r w:rsidR="00531D84" w:rsidRPr="00635D77">
        <w:t xml:space="preserve"> and</w:t>
      </w:r>
      <w:r w:rsidR="008C07CD" w:rsidRPr="00635D77">
        <w:t>/or</w:t>
      </w:r>
      <w:r w:rsidR="004F6118">
        <w:t xml:space="preserve"> DoD-level </w:t>
      </w:r>
      <w:r w:rsidR="00C72C52">
        <w:t xml:space="preserve">National Defense Strategy and COVID-19 response </w:t>
      </w:r>
      <w:r w:rsidR="00531D84" w:rsidRPr="00635D77">
        <w:t>priorities</w:t>
      </w:r>
      <w:r w:rsidR="002B54C5" w:rsidRPr="00635D77">
        <w:t>.</w:t>
      </w:r>
      <w:r w:rsidR="00531D84" w:rsidRPr="00635D77">
        <w:t xml:space="preserve"> </w:t>
      </w:r>
      <w:r w:rsidR="007A0C82">
        <w:t xml:space="preserve"> </w:t>
      </w:r>
    </w:p>
    <w:p w14:paraId="77E95432" w14:textId="57C2D744" w:rsidR="00347A38" w:rsidRPr="00635D77" w:rsidRDefault="00494BC7" w:rsidP="00173DCC">
      <w:pPr>
        <w:numPr>
          <w:ilvl w:val="0"/>
          <w:numId w:val="4"/>
        </w:numPr>
        <w:spacing w:line="238" w:lineRule="auto"/>
        <w:ind w:left="630" w:hanging="270"/>
      </w:pPr>
      <w:r w:rsidRPr="00635D77">
        <w:t xml:space="preserve"> </w:t>
      </w:r>
      <w:r w:rsidRPr="00635D77">
        <w:rPr>
          <w:u w:val="single"/>
        </w:rPr>
        <w:t>Demonstration of leadership</w:t>
      </w:r>
      <w:r w:rsidRPr="00635D77">
        <w:t>, including by example</w:t>
      </w:r>
      <w:r w:rsidR="0043307A" w:rsidRPr="00635D77">
        <w:t xml:space="preserve">, </w:t>
      </w:r>
      <w:r w:rsidR="00B850C7">
        <w:t xml:space="preserve">creativity, </w:t>
      </w:r>
      <w:r w:rsidRPr="00635D77">
        <w:t xml:space="preserve">mentoring, </w:t>
      </w:r>
      <w:r w:rsidR="0043307A" w:rsidRPr="00635D77">
        <w:t xml:space="preserve">and best practice sharing to enhance </w:t>
      </w:r>
      <w:r w:rsidR="008C07CD" w:rsidRPr="00635D77">
        <w:t xml:space="preserve">the success of </w:t>
      </w:r>
      <w:r w:rsidR="001A34AD" w:rsidRPr="00635D77">
        <w:t xml:space="preserve">one’s </w:t>
      </w:r>
      <w:r w:rsidR="0043307A" w:rsidRPr="00635D77">
        <w:t xml:space="preserve">team and </w:t>
      </w:r>
      <w:r w:rsidR="008C07CD" w:rsidRPr="00635D77">
        <w:t xml:space="preserve">the greater acquisition community in achieving </w:t>
      </w:r>
      <w:r w:rsidR="0043307A" w:rsidRPr="00635D77">
        <w:t xml:space="preserve">acquisition outcome success. </w:t>
      </w:r>
    </w:p>
    <w:p w14:paraId="687381EA" w14:textId="54B2F5B4" w:rsidR="00E57324" w:rsidRDefault="00E57324" w:rsidP="008124FE">
      <w:pPr>
        <w:spacing w:line="238" w:lineRule="auto"/>
        <w:ind w:left="630"/>
      </w:pPr>
    </w:p>
    <w:p w14:paraId="7088D5E0" w14:textId="6E44387D" w:rsidR="006F3D3E" w:rsidRDefault="006F3D3E" w:rsidP="008124FE">
      <w:pPr>
        <w:spacing w:line="238" w:lineRule="auto"/>
        <w:ind w:left="630"/>
      </w:pPr>
    </w:p>
    <w:p w14:paraId="4A3806F3" w14:textId="7736243A" w:rsidR="006F3D3E" w:rsidRDefault="006F3D3E" w:rsidP="008124FE">
      <w:pPr>
        <w:spacing w:line="238" w:lineRule="auto"/>
        <w:ind w:left="630"/>
      </w:pPr>
    </w:p>
    <w:p w14:paraId="08C4D616" w14:textId="77777777" w:rsidR="00E57324" w:rsidRPr="00635D77" w:rsidRDefault="00E57324" w:rsidP="008124FE">
      <w:pPr>
        <w:spacing w:line="238" w:lineRule="auto"/>
        <w:ind w:left="630"/>
      </w:pPr>
    </w:p>
    <w:p w14:paraId="0F66B9B2" w14:textId="7603DDF3" w:rsidR="00FB23D1" w:rsidRPr="00635D77" w:rsidRDefault="00FB23D1" w:rsidP="00173DCC">
      <w:pPr>
        <w:suppressAutoHyphens/>
        <w:spacing w:line="238" w:lineRule="auto"/>
      </w:pPr>
      <w:r w:rsidRPr="00635D77">
        <w:rPr>
          <w:b/>
          <w:color w:val="000000"/>
          <w:u w:val="single"/>
        </w:rPr>
        <w:lastRenderedPageBreak/>
        <w:t>Selection</w:t>
      </w:r>
      <w:r w:rsidRPr="00635D77">
        <w:rPr>
          <w:b/>
          <w:color w:val="000000"/>
        </w:rPr>
        <w:t xml:space="preserve">: </w:t>
      </w:r>
      <w:r w:rsidRPr="00635D77">
        <w:t xml:space="preserve"> </w:t>
      </w:r>
      <w:r w:rsidR="00D065B0">
        <w:t xml:space="preserve">HCI </w:t>
      </w:r>
      <w:r w:rsidR="00E604E5">
        <w:t>validate</w:t>
      </w:r>
      <w:r w:rsidR="00D065B0">
        <w:t>s</w:t>
      </w:r>
      <w:r w:rsidR="00FF2AAE">
        <w:t xml:space="preserve"> eligibility and forward</w:t>
      </w:r>
      <w:r w:rsidR="00D065B0">
        <w:t>s</w:t>
      </w:r>
      <w:r w:rsidR="00FF2AAE">
        <w:t xml:space="preserve"> nominations to the respective functional </w:t>
      </w:r>
      <w:r w:rsidR="00E604E5">
        <w:t>leadership</w:t>
      </w:r>
      <w:r w:rsidR="00FF2AAE">
        <w:t xml:space="preserve">.  </w:t>
      </w:r>
      <w:r w:rsidR="003F22CC" w:rsidRPr="003F22CC">
        <w:t>The functional leadership, in coordination with their board, reviews and recommends a winner for each award category.</w:t>
      </w:r>
      <w:r w:rsidR="003F22CC">
        <w:t xml:space="preserve">  </w:t>
      </w:r>
      <w:r w:rsidR="00927909">
        <w:t xml:space="preserve">HCI provides recommended winners </w:t>
      </w:r>
      <w:r w:rsidR="00365116">
        <w:t xml:space="preserve">for each award category </w:t>
      </w:r>
      <w:r w:rsidR="00927909">
        <w:t xml:space="preserve">to the </w:t>
      </w:r>
      <w:proofErr w:type="gramStart"/>
      <w:r w:rsidR="00E604E5">
        <w:t>USD(</w:t>
      </w:r>
      <w:proofErr w:type="gramEnd"/>
      <w:r w:rsidR="00E604E5">
        <w:t xml:space="preserve">A&amp;S) </w:t>
      </w:r>
      <w:r w:rsidR="00927909">
        <w:t xml:space="preserve">for </w:t>
      </w:r>
      <w:r w:rsidR="00E604E5">
        <w:t>review and approv</w:t>
      </w:r>
      <w:r w:rsidR="00927909">
        <w:t>al</w:t>
      </w:r>
      <w:r w:rsidR="00E604E5">
        <w:t>.</w:t>
      </w:r>
      <w:r w:rsidR="00927909">
        <w:t xml:space="preserve">  </w:t>
      </w:r>
      <w:r w:rsidR="00E604E5">
        <w:t xml:space="preserve">  </w:t>
      </w:r>
      <w:r w:rsidR="00FF2AAE">
        <w:t xml:space="preserve"> </w:t>
      </w:r>
    </w:p>
    <w:p w14:paraId="4BC1DAAA" w14:textId="77777777" w:rsidR="003B3587" w:rsidRDefault="003B3587" w:rsidP="00173DCC">
      <w:pPr>
        <w:spacing w:line="238" w:lineRule="auto"/>
        <w:rPr>
          <w:b/>
          <w:u w:val="single"/>
        </w:rPr>
      </w:pPr>
    </w:p>
    <w:p w14:paraId="457D7C05" w14:textId="0958A202" w:rsidR="00347A38" w:rsidRPr="00635D77" w:rsidRDefault="00347A38" w:rsidP="00173DCC">
      <w:pPr>
        <w:spacing w:line="238" w:lineRule="auto"/>
        <w:rPr>
          <w:b/>
        </w:rPr>
      </w:pPr>
      <w:r w:rsidRPr="00635D77">
        <w:rPr>
          <w:b/>
          <w:u w:val="single"/>
        </w:rPr>
        <w:t>Instructions</w:t>
      </w:r>
      <w:r w:rsidRPr="00635D77">
        <w:rPr>
          <w:b/>
        </w:rPr>
        <w:t>:</w:t>
      </w:r>
    </w:p>
    <w:p w14:paraId="7A0B93D2" w14:textId="77777777" w:rsidR="007C5C4F" w:rsidRPr="00635D77" w:rsidRDefault="007C5C4F" w:rsidP="00173DCC">
      <w:pPr>
        <w:spacing w:line="238" w:lineRule="auto"/>
        <w:rPr>
          <w:b/>
          <w:u w:val="single"/>
        </w:rPr>
      </w:pPr>
    </w:p>
    <w:p w14:paraId="06E8996A" w14:textId="287966A5" w:rsidR="00521297" w:rsidRDefault="00521297" w:rsidP="00521297">
      <w:pPr>
        <w:spacing w:line="238" w:lineRule="auto"/>
        <w:rPr>
          <w:color w:val="000000"/>
        </w:rPr>
      </w:pPr>
      <w:r w:rsidRPr="00635D77">
        <w:rPr>
          <w:b/>
        </w:rPr>
        <w:t>Nomination format, content, and logo</w:t>
      </w:r>
      <w:r w:rsidRPr="00AF554D">
        <w:rPr>
          <w:b/>
        </w:rPr>
        <w:t>.</w:t>
      </w:r>
      <w:r w:rsidRPr="00635D77">
        <w:t xml:space="preserve">  </w:t>
      </w:r>
      <w:r w:rsidRPr="00635D77">
        <w:rPr>
          <w:color w:val="000000"/>
        </w:rPr>
        <w:t xml:space="preserve">The </w:t>
      </w:r>
      <w:r>
        <w:rPr>
          <w:color w:val="000000"/>
        </w:rPr>
        <w:t xml:space="preserve">nomination </w:t>
      </w:r>
      <w:r w:rsidRPr="00635D77">
        <w:rPr>
          <w:color w:val="000000"/>
        </w:rPr>
        <w:t xml:space="preserve">package must include </w:t>
      </w:r>
      <w:r w:rsidR="009C26F3">
        <w:rPr>
          <w:color w:val="000000"/>
        </w:rPr>
        <w:t xml:space="preserve">(in Microsoft Word) </w:t>
      </w:r>
      <w:r w:rsidRPr="00635D77">
        <w:rPr>
          <w:color w:val="000000"/>
        </w:rPr>
        <w:t xml:space="preserve">the completed nomination contact </w:t>
      </w:r>
      <w:r>
        <w:rPr>
          <w:color w:val="000000"/>
        </w:rPr>
        <w:t>template</w:t>
      </w:r>
      <w:r w:rsidRPr="00635D77">
        <w:rPr>
          <w:color w:val="000000"/>
        </w:rPr>
        <w:t xml:space="preserve"> (</w:t>
      </w:r>
      <w:r>
        <w:rPr>
          <w:color w:val="000000"/>
        </w:rPr>
        <w:t>below</w:t>
      </w:r>
      <w:r w:rsidRPr="00635D77">
        <w:rPr>
          <w:color w:val="000000"/>
        </w:rPr>
        <w:t xml:space="preserve">) and a three page (maximum) narrative supporting the </w:t>
      </w:r>
      <w:r>
        <w:rPr>
          <w:color w:val="000000"/>
        </w:rPr>
        <w:t>nomination</w:t>
      </w:r>
      <w:r w:rsidRPr="00635D77">
        <w:rPr>
          <w:color w:val="000000"/>
        </w:rPr>
        <w:t xml:space="preserve">, and </w:t>
      </w:r>
      <w:r>
        <w:rPr>
          <w:color w:val="000000"/>
        </w:rPr>
        <w:t>a brief, not to exceed 200 word,</w:t>
      </w:r>
      <w:r w:rsidRPr="00635D77">
        <w:rPr>
          <w:color w:val="000000"/>
        </w:rPr>
        <w:t xml:space="preserve"> award citation.  A high-resolution organizational logo (at least 2 inches by 2 inches at 300 dots per inch) in either JPG or TIFF format must also be included with the email submission.</w:t>
      </w:r>
      <w:r>
        <w:rPr>
          <w:color w:val="000000"/>
        </w:rPr>
        <w:t xml:space="preserve">  The submitted nomination package must be Unclassified. </w:t>
      </w:r>
    </w:p>
    <w:p w14:paraId="7D7A92FD" w14:textId="77777777" w:rsidR="00153066" w:rsidRPr="00635D77" w:rsidRDefault="00153066" w:rsidP="00153066">
      <w:pPr>
        <w:spacing w:line="238" w:lineRule="auto"/>
        <w:rPr>
          <w:color w:val="000000"/>
        </w:rPr>
      </w:pPr>
    </w:p>
    <w:p w14:paraId="6265E127" w14:textId="77777777" w:rsidR="00153066" w:rsidRPr="00635D77" w:rsidRDefault="00153066" w:rsidP="00153066">
      <w:pPr>
        <w:pStyle w:val="ListParagraph"/>
        <w:spacing w:line="238" w:lineRule="auto"/>
        <w:ind w:left="0"/>
      </w:pPr>
      <w:r w:rsidRPr="00635D77">
        <w:rPr>
          <w:b/>
        </w:rPr>
        <w:t>Award Categories</w:t>
      </w:r>
      <w:r w:rsidRPr="00AF554D">
        <w:rPr>
          <w:b/>
        </w:rPr>
        <w:t>.</w:t>
      </w:r>
      <w:r w:rsidRPr="00635D77">
        <w:t xml:space="preserve">  Nominations will be accepted in the following categories:  </w:t>
      </w:r>
    </w:p>
    <w:p w14:paraId="797B8F13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Acquisition in an Expeditionary Environment</w:t>
      </w:r>
      <w:r>
        <w:t>*</w:t>
      </w:r>
    </w:p>
    <w:p w14:paraId="142CBA0D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Auditing</w:t>
      </w:r>
    </w:p>
    <w:p w14:paraId="12EA38CD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Contracting and Procurement</w:t>
      </w:r>
    </w:p>
    <w:p w14:paraId="3E91CD2A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Cost Estimating </w:t>
      </w:r>
    </w:p>
    <w:p w14:paraId="7A78A30A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Earned Value Management</w:t>
      </w:r>
      <w:r>
        <w:t>*</w:t>
      </w:r>
      <w:r w:rsidRPr="00635D77">
        <w:t xml:space="preserve"> </w:t>
      </w:r>
    </w:p>
    <w:p w14:paraId="0113AE3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Engineering</w:t>
      </w:r>
    </w:p>
    <w:p w14:paraId="6B0F704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Facilities Engineering</w:t>
      </w:r>
    </w:p>
    <w:p w14:paraId="4A53877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Financial Management </w:t>
      </w:r>
    </w:p>
    <w:p w14:paraId="01810201" w14:textId="77777777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Information Technology</w:t>
      </w:r>
    </w:p>
    <w:p w14:paraId="4D369A0F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>
        <w:t>International</w:t>
      </w:r>
    </w:p>
    <w:p w14:paraId="42C1060B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Life-Cycle Logistics</w:t>
      </w:r>
    </w:p>
    <w:p w14:paraId="0211BC13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Production, Quality, and Manufacturing </w:t>
      </w:r>
    </w:p>
    <w:p w14:paraId="7D68E3D7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Program Management </w:t>
      </w:r>
    </w:p>
    <w:p w14:paraId="3BF99F20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Science and Technology Manager </w:t>
      </w:r>
    </w:p>
    <w:p w14:paraId="725A6E4E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Test and Evaluation</w:t>
      </w:r>
    </w:p>
    <w:p w14:paraId="1246A4D1" w14:textId="3EECA7C2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Requirements Management</w:t>
      </w:r>
      <w:r>
        <w:t>**</w:t>
      </w:r>
    </w:p>
    <w:p w14:paraId="3B2DB0C8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Services Acquisition</w:t>
      </w:r>
      <w:r>
        <w:t>*</w:t>
      </w:r>
    </w:p>
    <w:p w14:paraId="62E3ADBD" w14:textId="77777777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Small Business</w:t>
      </w:r>
    </w:p>
    <w:p w14:paraId="538D17A2" w14:textId="3DACF5A7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>
        <w:t xml:space="preserve"> Software*</w:t>
      </w:r>
      <w:r w:rsidR="00344884">
        <w:t>**</w:t>
      </w:r>
    </w:p>
    <w:p w14:paraId="66D071DF" w14:textId="77777777" w:rsidR="00153066" w:rsidRDefault="00153066" w:rsidP="00153066">
      <w:pPr>
        <w:spacing w:line="238" w:lineRule="auto"/>
      </w:pPr>
    </w:p>
    <w:p w14:paraId="65AD77EA" w14:textId="17ECA255" w:rsidR="00153066" w:rsidRDefault="00153066" w:rsidP="00153066">
      <w:pPr>
        <w:spacing w:line="238" w:lineRule="auto"/>
      </w:pPr>
      <w:r>
        <w:t>*</w:t>
      </w:r>
      <w:r w:rsidR="00344884">
        <w:t>Requirement for m</w:t>
      </w:r>
      <w:r>
        <w:t>atch of Functional Area nomination to position designation requirement does not apply</w:t>
      </w:r>
      <w:r w:rsidR="00344884">
        <w:t xml:space="preserve"> for AWF-nominated member (AWF-only eligible).</w:t>
      </w:r>
    </w:p>
    <w:p w14:paraId="4ADE282B" w14:textId="6C1C5D16" w:rsidR="00153066" w:rsidRDefault="00153066" w:rsidP="00153066">
      <w:pPr>
        <w:spacing w:line="238" w:lineRule="auto"/>
      </w:pPr>
      <w:r w:rsidRPr="001C3B72">
        <w:t>**</w:t>
      </w:r>
      <w:r w:rsidRPr="00635D77">
        <w:t>The senior component official responsible for requirements endorse</w:t>
      </w:r>
      <w:r w:rsidR="00344884">
        <w:t>s</w:t>
      </w:r>
      <w:r w:rsidRPr="00635D77">
        <w:t xml:space="preserve"> the nomination for the Requirements Management Category.</w:t>
      </w:r>
      <w:r w:rsidR="00344884">
        <w:t xml:space="preserve"> (AWF and non-AWF eligible)</w:t>
      </w:r>
    </w:p>
    <w:p w14:paraId="2AFAC2A8" w14:textId="54300F74" w:rsidR="00344884" w:rsidRDefault="00344884" w:rsidP="00153066">
      <w:pPr>
        <w:spacing w:line="238" w:lineRule="auto"/>
      </w:pPr>
      <w:r>
        <w:t>***AWF and non-AWF eligible</w:t>
      </w:r>
    </w:p>
    <w:p w14:paraId="4A9A28D8" w14:textId="77777777" w:rsidR="00153066" w:rsidRDefault="00153066" w:rsidP="00153066">
      <w:pPr>
        <w:spacing w:line="238" w:lineRule="auto"/>
      </w:pPr>
    </w:p>
    <w:p w14:paraId="47875004" w14:textId="5F1EBAAB" w:rsidR="003B3587" w:rsidRPr="00635D77" w:rsidRDefault="003B3587" w:rsidP="003B3587">
      <w:pPr>
        <w:spacing w:line="238" w:lineRule="auto"/>
        <w:rPr>
          <w:i/>
          <w:color w:val="000000"/>
        </w:rPr>
      </w:pPr>
      <w:r w:rsidRPr="00635D77">
        <w:rPr>
          <w:b/>
          <w:color w:val="000000"/>
        </w:rPr>
        <w:t>Nomination approval</w:t>
      </w:r>
      <w:r w:rsidRPr="00AF554D">
        <w:rPr>
          <w:b/>
          <w:color w:val="000000"/>
        </w:rPr>
        <w:t>.</w:t>
      </w:r>
      <w:r w:rsidRPr="00AF554D">
        <w:rPr>
          <w:b/>
        </w:rPr>
        <w:t xml:space="preserve"> </w:t>
      </w:r>
      <w:r w:rsidRPr="00635D77">
        <w:t xml:space="preserve"> Service/Component Acquisition Executive</w:t>
      </w:r>
      <w:r>
        <w:t xml:space="preserve"> must approve nominations which are limited to one </w:t>
      </w:r>
      <w:r w:rsidRPr="00635D77">
        <w:t xml:space="preserve">nomination </w:t>
      </w:r>
      <w:r>
        <w:t xml:space="preserve">for </w:t>
      </w:r>
      <w:r w:rsidRPr="00635D77">
        <w:t xml:space="preserve">each </w:t>
      </w:r>
      <w:r>
        <w:t xml:space="preserve">award </w:t>
      </w:r>
      <w:r w:rsidRPr="00635D77">
        <w:t xml:space="preserve">category identified </w:t>
      </w:r>
      <w:r w:rsidR="00985A3D">
        <w:t>above</w:t>
      </w:r>
      <w:r w:rsidRPr="00635D77">
        <w:t xml:space="preserve">.  </w:t>
      </w:r>
      <w:r>
        <w:t xml:space="preserve">Each </w:t>
      </w:r>
      <w:r w:rsidRPr="00635D77">
        <w:rPr>
          <w:color w:val="000000"/>
        </w:rPr>
        <w:t xml:space="preserve">nomination package must be submitted under </w:t>
      </w:r>
      <w:r>
        <w:rPr>
          <w:color w:val="000000"/>
        </w:rPr>
        <w:t>c</w:t>
      </w:r>
      <w:r w:rsidRPr="00635D77">
        <w:rPr>
          <w:color w:val="000000"/>
        </w:rPr>
        <w:t xml:space="preserve">over memo signed by the Service/Component Acquisition Executive.  </w:t>
      </w:r>
    </w:p>
    <w:p w14:paraId="0CDD7919" w14:textId="77777777" w:rsidR="00BD6E2B" w:rsidRPr="00635D77" w:rsidRDefault="00BD6E2B" w:rsidP="00173DCC">
      <w:pPr>
        <w:spacing w:line="238" w:lineRule="auto"/>
      </w:pPr>
    </w:p>
    <w:p w14:paraId="1BBCAA90" w14:textId="77777777" w:rsidR="00E57324" w:rsidRDefault="00E57324" w:rsidP="003B3587">
      <w:pPr>
        <w:pStyle w:val="ListParagraph"/>
        <w:spacing w:line="238" w:lineRule="auto"/>
        <w:ind w:left="0"/>
        <w:rPr>
          <w:b/>
        </w:rPr>
      </w:pPr>
    </w:p>
    <w:p w14:paraId="455870E0" w14:textId="77777777" w:rsidR="00E57324" w:rsidRDefault="00E57324" w:rsidP="003B3587">
      <w:pPr>
        <w:pStyle w:val="ListParagraph"/>
        <w:spacing w:line="238" w:lineRule="auto"/>
        <w:ind w:left="0"/>
        <w:rPr>
          <w:b/>
        </w:rPr>
      </w:pPr>
    </w:p>
    <w:p w14:paraId="22EA1F2C" w14:textId="27716C67" w:rsidR="003B3587" w:rsidRPr="00635D77" w:rsidRDefault="003B3587" w:rsidP="003B3587">
      <w:pPr>
        <w:pStyle w:val="ListParagraph"/>
        <w:spacing w:line="238" w:lineRule="auto"/>
        <w:ind w:left="0"/>
        <w:rPr>
          <w:b/>
        </w:rPr>
      </w:pPr>
      <w:r w:rsidRPr="00635D77">
        <w:rPr>
          <w:b/>
        </w:rPr>
        <w:t>Submission deadline</w:t>
      </w:r>
      <w:r w:rsidRPr="00635D77">
        <w:t xml:space="preserve">. </w:t>
      </w:r>
      <w:r w:rsidRPr="00622C2D">
        <w:rPr>
          <w:b/>
        </w:rPr>
        <w:t xml:space="preserve"> Components must submit </w:t>
      </w:r>
      <w:r w:rsidRPr="00B30BCA">
        <w:rPr>
          <w:b/>
        </w:rPr>
        <w:t xml:space="preserve">nominations by email </w:t>
      </w:r>
      <w:r>
        <w:rPr>
          <w:b/>
        </w:rPr>
        <w:t xml:space="preserve">to </w:t>
      </w:r>
      <w:r w:rsidR="001E1544">
        <w:rPr>
          <w:b/>
        </w:rPr>
        <w:t xml:space="preserve">achievement.award@hci.mil </w:t>
      </w:r>
      <w:r w:rsidRPr="00B30BCA">
        <w:rPr>
          <w:b/>
          <w:color w:val="000000"/>
        </w:rPr>
        <w:t>by</w:t>
      </w:r>
      <w:r w:rsidRPr="00635D77">
        <w:rPr>
          <w:b/>
          <w:color w:val="000000"/>
        </w:rPr>
        <w:t xml:space="preserve"> </w:t>
      </w:r>
      <w:r>
        <w:rPr>
          <w:b/>
          <w:color w:val="000000"/>
        </w:rPr>
        <w:t>Friday,</w:t>
      </w:r>
      <w:r w:rsidRPr="00635D77">
        <w:rPr>
          <w:b/>
          <w:color w:val="000000"/>
        </w:rPr>
        <w:t xml:space="preserve"> </w:t>
      </w:r>
      <w:r>
        <w:rPr>
          <w:b/>
          <w:color w:val="000000"/>
        </w:rPr>
        <w:t>July 31</w:t>
      </w:r>
      <w:r w:rsidRPr="00635D77">
        <w:rPr>
          <w:b/>
          <w:color w:val="000000"/>
        </w:rPr>
        <w:t>, 20</w:t>
      </w:r>
      <w:r>
        <w:rPr>
          <w:b/>
          <w:color w:val="000000"/>
        </w:rPr>
        <w:t>20</w:t>
      </w:r>
      <w:r w:rsidRPr="00635D77">
        <w:rPr>
          <w:b/>
        </w:rPr>
        <w:t xml:space="preserve">.  </w:t>
      </w:r>
      <w:r w:rsidRPr="00B30BCA">
        <w:t>The HCI</w:t>
      </w:r>
      <w:r>
        <w:t xml:space="preserve"> awards </w:t>
      </w:r>
      <w:r w:rsidR="00683C58">
        <w:t xml:space="preserve">program </w:t>
      </w:r>
      <w:r>
        <w:t xml:space="preserve">coordinator will confirm </w:t>
      </w:r>
      <w:r w:rsidRPr="00635D77">
        <w:t xml:space="preserve">receipt.  If </w:t>
      </w:r>
      <w:r>
        <w:t>HCI</w:t>
      </w:r>
      <w:r w:rsidRPr="00635D77">
        <w:t xml:space="preserve"> has not </w:t>
      </w:r>
      <w:r>
        <w:t xml:space="preserve">confirmed receipt </w:t>
      </w:r>
      <w:r w:rsidRPr="00635D77">
        <w:t xml:space="preserve">within two business days after submission, please contact the </w:t>
      </w:r>
      <w:r>
        <w:t xml:space="preserve">HCI </w:t>
      </w:r>
      <w:r w:rsidRPr="00635D77">
        <w:t>award</w:t>
      </w:r>
      <w:r>
        <w:t>s</w:t>
      </w:r>
      <w:r w:rsidRPr="00635D77">
        <w:t xml:space="preserve"> </w:t>
      </w:r>
      <w:r>
        <w:t xml:space="preserve">program </w:t>
      </w:r>
      <w:r w:rsidRPr="00635D77">
        <w:t>coordinator.  A</w:t>
      </w:r>
      <w:r>
        <w:t xml:space="preserve"> nomination is considered “submitted” when the submitter</w:t>
      </w:r>
      <w:r w:rsidRPr="00635D77">
        <w:t xml:space="preserve"> </w:t>
      </w:r>
      <w:r>
        <w:t>receives the</w:t>
      </w:r>
      <w:r w:rsidRPr="00635D77">
        <w:t xml:space="preserve"> </w:t>
      </w:r>
      <w:r>
        <w:t xml:space="preserve">HCI </w:t>
      </w:r>
      <w:r w:rsidRPr="00635D77">
        <w:t>confirmation e-mail.</w:t>
      </w:r>
      <w:r>
        <w:t xml:space="preserve"> </w:t>
      </w:r>
    </w:p>
    <w:p w14:paraId="40249971" w14:textId="77777777" w:rsidR="00153066" w:rsidRDefault="00153066" w:rsidP="00C93A30">
      <w:pPr>
        <w:suppressAutoHyphens/>
        <w:spacing w:line="238" w:lineRule="auto"/>
        <w:rPr>
          <w:b/>
        </w:rPr>
      </w:pPr>
    </w:p>
    <w:p w14:paraId="0001AFE2" w14:textId="2A2DF534" w:rsidR="00C93A30" w:rsidRPr="00635D77" w:rsidRDefault="00C93A30" w:rsidP="00C93A30">
      <w:pPr>
        <w:suppressAutoHyphens/>
        <w:spacing w:line="238" w:lineRule="auto"/>
      </w:pPr>
      <w:r w:rsidRPr="00635D77">
        <w:rPr>
          <w:b/>
        </w:rPr>
        <w:t>Recognition</w:t>
      </w:r>
      <w:r>
        <w:rPr>
          <w:b/>
        </w:rPr>
        <w:t xml:space="preserve"> Ceremony</w:t>
      </w:r>
      <w:r w:rsidRPr="00AF554D">
        <w:rPr>
          <w:b/>
        </w:rPr>
        <w:t>.</w:t>
      </w:r>
      <w:r w:rsidRPr="00AF554D">
        <w:t xml:space="preserve">  </w:t>
      </w:r>
      <w:r>
        <w:t>The Under Secretary of Defense for Acquisition and Sustainment will recognize w</w:t>
      </w:r>
      <w:r w:rsidRPr="00635D77">
        <w:t xml:space="preserve">inners at </w:t>
      </w:r>
      <w:r>
        <w:t xml:space="preserve">the 2020 Defense Acquisition Awards Ceremony at the </w:t>
      </w:r>
      <w:r w:rsidRPr="00635D77">
        <w:t>Pentagon</w:t>
      </w:r>
      <w:r>
        <w:t>,</w:t>
      </w:r>
      <w:r w:rsidRPr="00635D77">
        <w:t xml:space="preserve"> </w:t>
      </w:r>
      <w:r>
        <w:t xml:space="preserve">tentatively planned for </w:t>
      </w:r>
      <w:r w:rsidR="0003413B">
        <w:t xml:space="preserve">late </w:t>
      </w:r>
      <w:r>
        <w:t>October 2020</w:t>
      </w:r>
      <w:r w:rsidRPr="00635D77">
        <w:t xml:space="preserve">.  </w:t>
      </w:r>
      <w:r>
        <w:t>W</w:t>
      </w:r>
      <w:r w:rsidRPr="00635D77">
        <w:t xml:space="preserve">inners </w:t>
      </w:r>
      <w:r>
        <w:t xml:space="preserve">are </w:t>
      </w:r>
      <w:r w:rsidRPr="00635D77">
        <w:t>limited</w:t>
      </w:r>
      <w:r w:rsidR="006E4474">
        <w:t xml:space="preserve"> </w:t>
      </w:r>
      <w:r w:rsidR="004063C5">
        <w:t xml:space="preserve">typically </w:t>
      </w:r>
      <w:r w:rsidRPr="00635D77">
        <w:t>to two (2) guests.</w:t>
      </w:r>
      <w:r>
        <w:t xml:space="preserve">  W</w:t>
      </w:r>
      <w:r w:rsidRPr="00635D77">
        <w:t>inner</w:t>
      </w:r>
      <w:r>
        <w:t xml:space="preserve">s and their accomplishments </w:t>
      </w:r>
      <w:r w:rsidRPr="00635D77">
        <w:t>will be featured in the Pentagon’s Defense Acquisition Workforce recognition display</w:t>
      </w:r>
      <w:r>
        <w:t>, the Defense Acquisition Magazine and other media venues</w:t>
      </w:r>
      <w:r w:rsidRPr="00635D77">
        <w:t>.</w:t>
      </w:r>
      <w:r>
        <w:t xml:space="preserve"> </w:t>
      </w:r>
      <w:r w:rsidRPr="00635D77">
        <w:t xml:space="preserve"> </w:t>
      </w:r>
    </w:p>
    <w:p w14:paraId="699C7B08" w14:textId="77777777" w:rsidR="00422140" w:rsidRPr="00635D77" w:rsidRDefault="00422140" w:rsidP="00422140">
      <w:pPr>
        <w:suppressAutoHyphens/>
        <w:spacing w:line="238" w:lineRule="auto"/>
      </w:pPr>
    </w:p>
    <w:p w14:paraId="343ACE94" w14:textId="6AACB12C" w:rsidR="00D67304" w:rsidRDefault="00D67304" w:rsidP="00D67304">
      <w:pPr>
        <w:suppressAutoHyphens/>
        <w:spacing w:line="238" w:lineRule="auto"/>
      </w:pPr>
      <w:r w:rsidRPr="00635D77">
        <w:rPr>
          <w:b/>
        </w:rPr>
        <w:t>Travel Costs</w:t>
      </w:r>
      <w:r w:rsidRPr="00AF554D">
        <w:rPr>
          <w:b/>
        </w:rPr>
        <w:t>.</w:t>
      </w:r>
      <w:r w:rsidRPr="00635D77">
        <w:t xml:space="preserve">  </w:t>
      </w:r>
      <w:r>
        <w:t>Winning o</w:t>
      </w:r>
      <w:r w:rsidRPr="00692D98">
        <w:t xml:space="preserve">rganizations are responsible for all travel costs associated </w:t>
      </w:r>
      <w:r>
        <w:t xml:space="preserve">with winners </w:t>
      </w:r>
      <w:r w:rsidRPr="00692D98">
        <w:t xml:space="preserve">attending the awards ceremony.   </w:t>
      </w:r>
      <w:r w:rsidRPr="00F872AC">
        <w:t xml:space="preserve">Component acquisition leadership and winners will be notified several weeks in advance in order to facilitate travel </w:t>
      </w:r>
      <w:r>
        <w:t xml:space="preserve">planning and </w:t>
      </w:r>
      <w:r w:rsidRPr="00F872AC">
        <w:t xml:space="preserve">reservations. </w:t>
      </w:r>
      <w:r>
        <w:t xml:space="preserve"> </w:t>
      </w:r>
      <w:r w:rsidRPr="00692D98">
        <w:t xml:space="preserve">Awardee travel may be funded by component/organization funds or, if available, with </w:t>
      </w:r>
      <w:r w:rsidR="00465487">
        <w:t xml:space="preserve">component/organization </w:t>
      </w:r>
      <w:r w:rsidRPr="00692D98">
        <w:t xml:space="preserve">DAWDA funding </w:t>
      </w:r>
      <w:r>
        <w:t>already allocated to components for FY 2020.  C</w:t>
      </w:r>
      <w:r w:rsidRPr="00692D98">
        <w:t xml:space="preserve">ontact </w:t>
      </w:r>
      <w:r>
        <w:t>your</w:t>
      </w:r>
      <w:r w:rsidRPr="00692D98">
        <w:t xml:space="preserve"> Component DAWDA manager </w:t>
      </w:r>
      <w:r>
        <w:t>regarding availability of funding.</w:t>
      </w:r>
    </w:p>
    <w:p w14:paraId="1D338290" w14:textId="77777777" w:rsidR="003B3587" w:rsidRPr="00635D77" w:rsidRDefault="003B3587" w:rsidP="003B3587">
      <w:pPr>
        <w:suppressAutoHyphens/>
        <w:spacing w:line="238" w:lineRule="auto"/>
      </w:pPr>
    </w:p>
    <w:p w14:paraId="40BBEBA9" w14:textId="404FD1EC" w:rsidR="009061A6" w:rsidRDefault="008B4D8A" w:rsidP="003B358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1D010C">
        <w:rPr>
          <w:rFonts w:ascii="Times New Roman" w:eastAsia="Times New Roman" w:hAnsi="Times New Roman" w:cs="Times New Roman"/>
          <w:b/>
          <w:sz w:val="24"/>
          <w:szCs w:val="24"/>
        </w:rPr>
        <w:t xml:space="preserve">Monetary Award.  </w:t>
      </w:r>
      <w:r w:rsidR="004A1787" w:rsidRPr="004A1787">
        <w:rPr>
          <w:rFonts w:ascii="Times New Roman" w:eastAsia="Times New Roman" w:hAnsi="Times New Roman" w:cs="Times New Roman"/>
          <w:sz w:val="24"/>
          <w:szCs w:val="24"/>
        </w:rPr>
        <w:t>Subject to OSD Personnel and Readiness guidance, t</w:t>
      </w:r>
      <w:r w:rsidR="001D010C" w:rsidRPr="004A1787">
        <w:rPr>
          <w:rFonts w:ascii="Times New Roman" w:eastAsia="Times New Roman" w:hAnsi="Times New Roman" w:cs="Times New Roman"/>
          <w:sz w:val="24"/>
          <w:szCs w:val="24"/>
        </w:rPr>
        <w:t>he Individual</w:t>
      </w:r>
      <w:r w:rsidR="001D010C" w:rsidRPr="001D010C">
        <w:rPr>
          <w:rFonts w:ascii="Times New Roman" w:eastAsia="Times New Roman" w:hAnsi="Times New Roman" w:cs="Times New Roman"/>
          <w:sz w:val="24"/>
          <w:szCs w:val="24"/>
        </w:rPr>
        <w:t xml:space="preserve"> Achievement Award winners may be eligible for a $5,000 monetary award.  Component organizations normally fund monetary awards with mission funding or available </w:t>
      </w:r>
      <w:r w:rsidR="004A1787">
        <w:rPr>
          <w:rFonts w:ascii="Times New Roman" w:eastAsia="Times New Roman" w:hAnsi="Times New Roman" w:cs="Times New Roman"/>
          <w:sz w:val="24"/>
          <w:szCs w:val="24"/>
        </w:rPr>
        <w:t xml:space="preserve">component </w:t>
      </w:r>
      <w:r w:rsidR="001D010C" w:rsidRPr="001D010C">
        <w:rPr>
          <w:rFonts w:ascii="Times New Roman" w:eastAsia="Times New Roman" w:hAnsi="Times New Roman" w:cs="Times New Roman"/>
          <w:sz w:val="24"/>
          <w:szCs w:val="24"/>
        </w:rPr>
        <w:t>Defense Acquisition Workforce Development Account (DAWDA) funding.  When the 2020 OSD P&amp;R award guidance is released, HCI will update this awards guidance, as appropriate.</w:t>
      </w:r>
      <w:r w:rsidR="001D01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32D329" w14:textId="77777777" w:rsidR="003B3587" w:rsidRPr="00635D77" w:rsidRDefault="003B3587" w:rsidP="003B3587">
      <w:pPr>
        <w:pStyle w:val="PlainText"/>
      </w:pPr>
    </w:p>
    <w:p w14:paraId="044C90CF" w14:textId="727E49BA" w:rsidR="008536BE" w:rsidRPr="00635D77" w:rsidRDefault="00BD6E2B" w:rsidP="00094BA9">
      <w:pPr>
        <w:spacing w:line="238" w:lineRule="auto"/>
      </w:pPr>
      <w:r w:rsidRPr="00E20A23">
        <w:rPr>
          <w:b/>
        </w:rPr>
        <w:t>Questions</w:t>
      </w:r>
      <w:r w:rsidRPr="00AF554D">
        <w:rPr>
          <w:b/>
        </w:rPr>
        <w:t>.</w:t>
      </w:r>
      <w:r w:rsidRPr="00635D77">
        <w:t xml:space="preserve"> </w:t>
      </w:r>
      <w:r w:rsidR="007318C2">
        <w:t xml:space="preserve"> </w:t>
      </w:r>
      <w:r w:rsidR="00CD1011">
        <w:t>For questions</w:t>
      </w:r>
      <w:r w:rsidR="00347A38" w:rsidRPr="00635D77">
        <w:t xml:space="preserve"> regarding this award </w:t>
      </w:r>
      <w:r w:rsidR="00CD1011">
        <w:t xml:space="preserve">contact </w:t>
      </w:r>
      <w:r w:rsidR="00347A38" w:rsidRPr="00635D77">
        <w:t xml:space="preserve">the </w:t>
      </w:r>
      <w:r w:rsidR="001E3881">
        <w:t>HCI awards program coordinator</w:t>
      </w:r>
      <w:r w:rsidR="00347A38" w:rsidRPr="00635D77">
        <w:t xml:space="preserve"> at 703-805-</w:t>
      </w:r>
      <w:r w:rsidR="00F068B7">
        <w:t>4948</w:t>
      </w:r>
      <w:r w:rsidR="00F068B7" w:rsidRPr="00635D77">
        <w:t xml:space="preserve"> </w:t>
      </w:r>
      <w:r w:rsidR="00347A38" w:rsidRPr="00635D77">
        <w:t xml:space="preserve">or via e-mail at </w:t>
      </w:r>
      <w:r w:rsidR="00EE1BC8" w:rsidRPr="005242A7">
        <w:t>achievement.award@hci.mil</w:t>
      </w:r>
      <w:r w:rsidR="00347A38" w:rsidRPr="00635D77">
        <w:t xml:space="preserve">.  </w:t>
      </w:r>
    </w:p>
    <w:p w14:paraId="085C0395" w14:textId="77777777" w:rsidR="009061A6" w:rsidRPr="00635D77" w:rsidRDefault="009061A6" w:rsidP="00173DCC">
      <w:pPr>
        <w:spacing w:line="238" w:lineRule="auto"/>
      </w:pPr>
    </w:p>
    <w:p w14:paraId="18C9468B" w14:textId="6CD117B3" w:rsidR="007D3A65" w:rsidRPr="00635D77" w:rsidRDefault="007D3A65">
      <w:pPr>
        <w:spacing w:after="200" w:line="276" w:lineRule="auto"/>
        <w:rPr>
          <w:b/>
        </w:rPr>
      </w:pPr>
      <w:r w:rsidRPr="00635D77">
        <w:rPr>
          <w:b/>
        </w:rPr>
        <w:br w:type="page"/>
      </w:r>
    </w:p>
    <w:p w14:paraId="4D022F50" w14:textId="3AC8A963" w:rsidR="00347A38" w:rsidRPr="00635D77" w:rsidRDefault="00F068B7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 w:rsidRPr="00635D77">
        <w:rPr>
          <w:b/>
        </w:rPr>
        <w:t>20</w:t>
      </w:r>
      <w:r>
        <w:rPr>
          <w:b/>
        </w:rPr>
        <w:t>20</w:t>
      </w:r>
      <w:r w:rsidRPr="00635D77">
        <w:rPr>
          <w:b/>
        </w:rPr>
        <w:t xml:space="preserve"> </w:t>
      </w:r>
      <w:r w:rsidR="008536BE" w:rsidRPr="00635D77">
        <w:rPr>
          <w:b/>
        </w:rPr>
        <w:t xml:space="preserve">Defense Acquisition Workforce </w:t>
      </w:r>
      <w:r w:rsidR="00DA228B" w:rsidRPr="00635D77">
        <w:rPr>
          <w:b/>
        </w:rPr>
        <w:t xml:space="preserve">Individual </w:t>
      </w:r>
      <w:r w:rsidR="008536BE" w:rsidRPr="00635D77">
        <w:rPr>
          <w:b/>
        </w:rPr>
        <w:t>Achievement Award</w:t>
      </w:r>
      <w:r w:rsidR="00347A38" w:rsidRPr="00635D77">
        <w:rPr>
          <w:b/>
        </w:rPr>
        <w:t xml:space="preserve"> </w:t>
      </w:r>
    </w:p>
    <w:p w14:paraId="12DCC66C" w14:textId="77777777" w:rsidR="0049766C" w:rsidRDefault="0049766C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</w:p>
    <w:p w14:paraId="67DDF523" w14:textId="0B9EC9B8" w:rsidR="008536BE" w:rsidRPr="00635D77" w:rsidRDefault="00A77A29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>
        <w:rPr>
          <w:b/>
        </w:rPr>
        <w:t xml:space="preserve">Nomination </w:t>
      </w:r>
      <w:r w:rsidR="0049766C">
        <w:rPr>
          <w:b/>
        </w:rPr>
        <w:t>Submission Information</w:t>
      </w:r>
    </w:p>
    <w:p w14:paraId="49124131" w14:textId="77777777" w:rsidR="00347A38" w:rsidRPr="00635D77" w:rsidRDefault="00347A38" w:rsidP="00173DCC">
      <w:pPr>
        <w:pBdr>
          <w:bottom w:val="double" w:sz="4" w:space="1" w:color="auto"/>
        </w:pBdr>
        <w:tabs>
          <w:tab w:val="left" w:pos="360"/>
          <w:tab w:val="left" w:pos="720"/>
        </w:tabs>
        <w:spacing w:line="238" w:lineRule="auto"/>
        <w:jc w:val="center"/>
      </w:pPr>
    </w:p>
    <w:p w14:paraId="0740FD02" w14:textId="77777777" w:rsidR="007F234E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</w:p>
    <w:p w14:paraId="79B7CE44" w14:textId="6F810480" w:rsidR="00996AA1" w:rsidRPr="00635D77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>
        <w:rPr>
          <w:b/>
        </w:rPr>
        <w:t xml:space="preserve">Award </w:t>
      </w:r>
      <w:r w:rsidR="00996AA1" w:rsidRPr="00635D77">
        <w:rPr>
          <w:b/>
        </w:rPr>
        <w:t>Category:</w:t>
      </w:r>
      <w:r w:rsidR="00996AA1">
        <w:rPr>
          <w:b/>
        </w:rPr>
        <w:t xml:space="preserve"> </w:t>
      </w:r>
      <w:r w:rsidR="00996AA1" w:rsidRPr="00635D77">
        <w:rPr>
          <w:b/>
        </w:rPr>
        <w:t xml:space="preserve"> (Functional </w:t>
      </w:r>
      <w:r w:rsidR="00B850C7">
        <w:rPr>
          <w:b/>
        </w:rPr>
        <w:t>Area</w:t>
      </w:r>
      <w:r w:rsidR="00996AA1" w:rsidRPr="00635D77">
        <w:rPr>
          <w:b/>
        </w:rPr>
        <w:t>)</w:t>
      </w:r>
    </w:p>
    <w:p w14:paraId="3E41F508" w14:textId="77777777" w:rsidR="007F234E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</w:p>
    <w:p w14:paraId="1B70FC45" w14:textId="24CF42CA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 w:rsidRPr="00635D77">
        <w:rPr>
          <w:b/>
        </w:rPr>
        <w:t>Nominee Information</w:t>
      </w:r>
    </w:p>
    <w:p w14:paraId="588A9664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</w:pPr>
      <w:r w:rsidRPr="00635D77">
        <w:t xml:space="preserve">Name: </w:t>
      </w:r>
    </w:p>
    <w:p w14:paraId="57B8646D" w14:textId="77777777" w:rsidR="00996AA1" w:rsidRPr="00635D77" w:rsidRDefault="00996AA1" w:rsidP="00996AA1">
      <w:pPr>
        <w:tabs>
          <w:tab w:val="left" w:pos="-4050"/>
          <w:tab w:val="left" w:pos="360"/>
          <w:tab w:val="left" w:pos="2160"/>
        </w:tabs>
        <w:spacing w:line="238" w:lineRule="auto"/>
        <w:ind w:left="360"/>
      </w:pPr>
      <w:r w:rsidRPr="00635D77">
        <w:t xml:space="preserve">(Note: </w:t>
      </w:r>
      <w:r>
        <w:t xml:space="preserve"> </w:t>
      </w:r>
      <w:r w:rsidRPr="00635D77">
        <w:t>The selected nominee’s name will be printed on all materials and trophies as listed above.)</w:t>
      </w:r>
      <w:r w:rsidRPr="00635D77">
        <w:tab/>
      </w:r>
    </w:p>
    <w:p w14:paraId="57F18B3A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</w:p>
    <w:p w14:paraId="3DA97471" w14:textId="635A352F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  <w:r w:rsidRPr="00635D77">
        <w:t>Title:</w:t>
      </w:r>
      <w:r w:rsidRPr="00635D77">
        <w:tab/>
      </w:r>
    </w:p>
    <w:p w14:paraId="2FA6BA41" w14:textId="6E1BC968" w:rsidR="00582EF5" w:rsidRPr="00BA259A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  <w:r>
        <w:t xml:space="preserve">Mailing </w:t>
      </w:r>
      <w:r w:rsidRPr="00635D77">
        <w:t xml:space="preserve">Address: </w:t>
      </w:r>
    </w:p>
    <w:p w14:paraId="06D1EE66" w14:textId="4B6BE5D1" w:rsidR="00996AA1" w:rsidRPr="00356E87" w:rsidRDefault="00996AA1" w:rsidP="004375DD">
      <w:pPr>
        <w:tabs>
          <w:tab w:val="left" w:pos="-4050"/>
          <w:tab w:val="left" w:pos="360"/>
          <w:tab w:val="left" w:pos="1800"/>
        </w:tabs>
        <w:spacing w:line="238" w:lineRule="auto"/>
        <w:rPr>
          <w:sz w:val="10"/>
          <w:szCs w:val="10"/>
        </w:rPr>
      </w:pPr>
      <w:r>
        <w:tab/>
      </w:r>
      <w:r w:rsidRPr="00635D77">
        <w:t>Telephone:</w:t>
      </w:r>
      <w:r w:rsidRPr="00635D77">
        <w:tab/>
      </w:r>
      <w:r w:rsidRPr="00635D77">
        <w:tab/>
      </w:r>
      <w:r w:rsidRPr="00635D77">
        <w:tab/>
      </w:r>
    </w:p>
    <w:p w14:paraId="080F1C9F" w14:textId="38C7AC67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sz w:val="10"/>
          <w:szCs w:val="10"/>
        </w:rPr>
      </w:pPr>
      <w:r>
        <w:tab/>
      </w:r>
      <w:r w:rsidRPr="00635D77">
        <w:t>E-mail:</w:t>
      </w:r>
      <w:r w:rsidRPr="00635D77">
        <w:tab/>
        <w:t xml:space="preserve">   </w:t>
      </w:r>
    </w:p>
    <w:p w14:paraId="46C9B436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Civilian or Military</w:t>
      </w:r>
      <w:r>
        <w:t>:</w:t>
      </w:r>
    </w:p>
    <w:p w14:paraId="43135B27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sz w:val="10"/>
          <w:szCs w:val="10"/>
        </w:rPr>
      </w:pPr>
      <w:r w:rsidRPr="00635D77">
        <w:tab/>
      </w:r>
    </w:p>
    <w:p w14:paraId="589CB159" w14:textId="77777777" w:rsidR="00996AA1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DoD Component or Agency Name:  (i.e., Department of the Army)</w:t>
      </w:r>
    </w:p>
    <w:p w14:paraId="0E4C766E" w14:textId="741A3DAA" w:rsidR="00996AA1" w:rsidRDefault="00CC500B" w:rsidP="00224C73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  <w:t xml:space="preserve">Organization/Command: (i.e., Army Materiel Command) </w:t>
      </w:r>
    </w:p>
    <w:p w14:paraId="38AF3901" w14:textId="77777777" w:rsidR="00543B1E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14:paraId="3B8A4289" w14:textId="341C8CA8" w:rsidR="00543B1E" w:rsidRPr="00F872AC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 xml:space="preserve">Name of </w:t>
      </w:r>
      <w:r>
        <w:t xml:space="preserve">Service/Component </w:t>
      </w:r>
      <w:r w:rsidRPr="00F872AC">
        <w:t>Acquisition Executive/Senior Acquisition Leader:</w:t>
      </w:r>
    </w:p>
    <w:p w14:paraId="422762E0" w14:textId="77777777" w:rsidR="00543B1E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>Title:</w:t>
      </w:r>
    </w:p>
    <w:p w14:paraId="6DD5A28F" w14:textId="77777777" w:rsidR="00CC500B" w:rsidRDefault="00CC500B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</w:p>
    <w:p w14:paraId="26681E4C" w14:textId="77777777" w:rsidR="00996AA1" w:rsidRPr="00BA259A" w:rsidRDefault="00996AA1" w:rsidP="00BA259A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BA259A">
        <w:rPr>
          <w:b/>
        </w:rPr>
        <w:t>Submission Point of Contact (POC):</w:t>
      </w:r>
    </w:p>
    <w:p w14:paraId="035F1644" w14:textId="1B9F5891" w:rsidR="00996AA1" w:rsidRPr="00F872AC" w:rsidRDefault="00996AA1" w:rsidP="00BA259A">
      <w:pPr>
        <w:tabs>
          <w:tab w:val="left" w:pos="-4050"/>
          <w:tab w:val="left" w:pos="360"/>
          <w:tab w:val="left" w:pos="720"/>
          <w:tab w:val="left" w:pos="2160"/>
        </w:tabs>
      </w:pPr>
      <w:r>
        <w:t xml:space="preserve">(Note: </w:t>
      </w:r>
      <w:r w:rsidR="006307A1">
        <w:t>Person to be contacted if there are any questions regarding the submission.</w:t>
      </w:r>
      <w:r>
        <w:t>)</w:t>
      </w:r>
    </w:p>
    <w:p w14:paraId="71E5DB35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14:paraId="120CA13D" w14:textId="6602A6C9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>
        <w:t xml:space="preserve">Name: </w:t>
      </w:r>
    </w:p>
    <w:p w14:paraId="0D0887BF" w14:textId="3F5F94C0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>
        <w:t xml:space="preserve">Title: </w:t>
      </w:r>
      <w:r>
        <w:tab/>
      </w:r>
      <w:r w:rsidRPr="00F872AC">
        <w:t xml:space="preserve"> </w:t>
      </w:r>
    </w:p>
    <w:p w14:paraId="5BC8184F" w14:textId="08AE4821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  <w:r w:rsidRPr="00F872AC">
        <w:t>Telephone:</w:t>
      </w:r>
      <w:r w:rsidRPr="00F872AC">
        <w:tab/>
      </w:r>
      <w:r w:rsidRPr="00F872AC">
        <w:tab/>
      </w:r>
      <w:r>
        <w:tab/>
      </w:r>
    </w:p>
    <w:p w14:paraId="265979D9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F872AC">
        <w:t>E-mail:</w:t>
      </w:r>
    </w:p>
    <w:p w14:paraId="039DE9F3" w14:textId="77777777" w:rsidR="007D3A65" w:rsidRPr="00635D77" w:rsidRDefault="007D3A65" w:rsidP="007D3A65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14:paraId="03C31131" w14:textId="77777777" w:rsidR="007D3A65" w:rsidRPr="00635D77" w:rsidRDefault="007D3A65" w:rsidP="00245F5E">
      <w:pPr>
        <w:tabs>
          <w:tab w:val="left" w:pos="-4050"/>
          <w:tab w:val="left" w:pos="360"/>
          <w:tab w:val="left" w:pos="720"/>
        </w:tabs>
        <w:spacing w:line="238" w:lineRule="auto"/>
      </w:pPr>
    </w:p>
    <w:p w14:paraId="48CD1A69" w14:textId="6C417BE1" w:rsidR="003E3599" w:rsidRPr="00294798" w:rsidRDefault="00BB1B5A" w:rsidP="00BB1B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4798">
        <w:rPr>
          <w:rFonts w:ascii="Times New Roman" w:eastAsia="Times New Roman" w:hAnsi="Times New Roman" w:cs="Times New Roman"/>
          <w:sz w:val="24"/>
          <w:szCs w:val="24"/>
        </w:rPr>
        <w:t>Acknowledgement of Monetary Award:</w:t>
      </w:r>
    </w:p>
    <w:p w14:paraId="4518BC1F" w14:textId="77777777" w:rsidR="00BB1B5A" w:rsidRPr="00B5083E" w:rsidRDefault="00BB1B5A" w:rsidP="00BB1B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5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B5083E">
        <w:rPr>
          <w:rFonts w:ascii="Times New Roman" w:eastAsia="Times New Roman" w:hAnsi="Times New Roman" w:cs="Times New Roman"/>
          <w:sz w:val="24"/>
          <w:szCs w:val="24"/>
        </w:rPr>
        <w:tab/>
        <w:t xml:space="preserve">By submitting this nomination, you acknowledge that, should the nominee be the selected winner, the monetary award will be applied towards the applicable award cap.  </w:t>
      </w:r>
    </w:p>
    <w:p w14:paraId="290BDB3F" w14:textId="77777777" w:rsidR="007F234E" w:rsidRDefault="007F234E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b/>
        </w:rPr>
      </w:pPr>
    </w:p>
    <w:p w14:paraId="56226F6C" w14:textId="2F1DE5F6" w:rsidR="00253285" w:rsidRDefault="007D3A65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  <w:r w:rsidRPr="00635D77">
        <w:rPr>
          <w:b/>
        </w:rPr>
        <w:t>Submitting Official’s Signature</w:t>
      </w:r>
      <w:r w:rsidRPr="00635D77">
        <w:t xml:space="preserve"> ______________________________________</w:t>
      </w:r>
    </w:p>
    <w:p w14:paraId="68203A96" w14:textId="77777777" w:rsidR="00E61DEF" w:rsidRDefault="00E61DEF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14:paraId="7852625E" w14:textId="77777777" w:rsidR="00E61DEF" w:rsidRDefault="00E61DEF" w:rsidP="00173DCC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spacing w:line="238" w:lineRule="auto"/>
        <w:jc w:val="both"/>
        <w:rPr>
          <w:b/>
        </w:rPr>
      </w:pPr>
    </w:p>
    <w:p w14:paraId="11BE54CF" w14:textId="4165C564" w:rsidR="00347A38" w:rsidRPr="00635D77" w:rsidRDefault="00E84E4B" w:rsidP="00173DCC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spacing w:line="238" w:lineRule="auto"/>
        <w:jc w:val="both"/>
        <w:rPr>
          <w:b/>
        </w:rPr>
      </w:pPr>
      <w:r w:rsidRPr="00635D77">
        <w:rPr>
          <w:b/>
        </w:rPr>
        <w:t xml:space="preserve">Director, Acquisition Career Management Staff </w:t>
      </w:r>
      <w:r w:rsidR="00347A38" w:rsidRPr="00635D77">
        <w:rPr>
          <w:b/>
        </w:rPr>
        <w:t xml:space="preserve">Point of Contact </w:t>
      </w:r>
    </w:p>
    <w:p w14:paraId="4DC8491D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Name:</w:t>
      </w:r>
      <w:r w:rsidRPr="00635D77">
        <w:tab/>
      </w:r>
    </w:p>
    <w:p w14:paraId="17A9B50E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</w:pPr>
      <w:r w:rsidRPr="00635D77">
        <w:tab/>
        <w:t xml:space="preserve">Title: </w:t>
      </w:r>
      <w:r w:rsidRPr="00635D77">
        <w:tab/>
      </w:r>
    </w:p>
    <w:p w14:paraId="6493938E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Telephone:</w:t>
      </w:r>
      <w:r w:rsidRPr="00635D77">
        <w:tab/>
      </w:r>
    </w:p>
    <w:p w14:paraId="09308FA3" w14:textId="0B74E049" w:rsidR="007D3A65" w:rsidRPr="00635D77" w:rsidRDefault="00347A38" w:rsidP="00BA259A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  <w:rPr>
          <w:b/>
          <w:u w:val="single"/>
        </w:rPr>
      </w:pPr>
      <w:r w:rsidRPr="00635D77">
        <w:tab/>
        <w:t>E-mail:</w:t>
      </w:r>
      <w:r w:rsidRPr="00635D77">
        <w:rPr>
          <w:color w:val="7030A0"/>
        </w:rPr>
        <w:tab/>
      </w:r>
    </w:p>
    <w:p w14:paraId="5C55C9A3" w14:textId="50C78F47" w:rsidR="00224C73" w:rsidRDefault="00224C73" w:rsidP="00173DCC">
      <w:pPr>
        <w:spacing w:line="238" w:lineRule="auto"/>
        <w:rPr>
          <w:b/>
          <w:u w:val="single"/>
        </w:rPr>
      </w:pPr>
    </w:p>
    <w:p w14:paraId="2FB1F54D" w14:textId="77777777" w:rsidR="00F074B0" w:rsidRDefault="00F074B0" w:rsidP="00173DCC">
      <w:pPr>
        <w:spacing w:line="238" w:lineRule="auto"/>
        <w:rPr>
          <w:b/>
          <w:u w:val="single"/>
        </w:rPr>
      </w:pPr>
    </w:p>
    <w:p w14:paraId="2202B8D4" w14:textId="77777777" w:rsidR="004375DD" w:rsidRDefault="004375DD" w:rsidP="00173DCC">
      <w:pPr>
        <w:spacing w:line="238" w:lineRule="auto"/>
        <w:rPr>
          <w:b/>
          <w:u w:val="single"/>
        </w:rPr>
      </w:pPr>
    </w:p>
    <w:p w14:paraId="27031EC8" w14:textId="68A877A4" w:rsidR="002D6BE7" w:rsidRPr="00635D77" w:rsidRDefault="002D6BE7" w:rsidP="00173DCC">
      <w:pPr>
        <w:spacing w:line="238" w:lineRule="auto"/>
        <w:rPr>
          <w:b/>
          <w:u w:val="single"/>
        </w:rPr>
      </w:pPr>
      <w:r w:rsidRPr="00635D77">
        <w:rPr>
          <w:b/>
          <w:u w:val="single"/>
        </w:rPr>
        <w:t>NOMINATION NARRATIVE</w:t>
      </w:r>
      <w:r w:rsidRPr="00635D77">
        <w:rPr>
          <w:b/>
        </w:rPr>
        <w:t>:</w:t>
      </w:r>
      <w:r w:rsidRPr="00635D77">
        <w:rPr>
          <w:b/>
          <w:u w:val="single"/>
        </w:rPr>
        <w:t xml:space="preserve"> </w:t>
      </w:r>
    </w:p>
    <w:p w14:paraId="5D435C16" w14:textId="77777777" w:rsidR="00A425D8" w:rsidRDefault="00A425D8" w:rsidP="00224C73">
      <w:pPr>
        <w:spacing w:line="238" w:lineRule="auto"/>
        <w:rPr>
          <w:b/>
        </w:rPr>
      </w:pPr>
    </w:p>
    <w:p w14:paraId="238CE7AB" w14:textId="0F44CB99" w:rsidR="00BD6E2B" w:rsidRPr="00224C73" w:rsidRDefault="002D6BE7" w:rsidP="00224C73">
      <w:pPr>
        <w:spacing w:line="238" w:lineRule="auto"/>
        <w:rPr>
          <w:b/>
        </w:rPr>
      </w:pPr>
      <w:r w:rsidRPr="00635D77">
        <w:rPr>
          <w:b/>
        </w:rPr>
        <w:t>Not</w:t>
      </w:r>
      <w:r w:rsidR="007256D9" w:rsidRPr="00635D77">
        <w:rPr>
          <w:b/>
        </w:rPr>
        <w:t xml:space="preserve"> to exceed </w:t>
      </w:r>
      <w:r w:rsidR="00157D4E">
        <w:rPr>
          <w:b/>
        </w:rPr>
        <w:t>two</w:t>
      </w:r>
      <w:r w:rsidRPr="00635D77">
        <w:rPr>
          <w:b/>
        </w:rPr>
        <w:t xml:space="preserve"> </w:t>
      </w:r>
      <w:r w:rsidR="00BD6E2B" w:rsidRPr="00635D77">
        <w:rPr>
          <w:b/>
        </w:rPr>
        <w:t>page</w:t>
      </w:r>
      <w:r w:rsidRPr="00635D77">
        <w:rPr>
          <w:b/>
        </w:rPr>
        <w:t xml:space="preserve">s; </w:t>
      </w:r>
      <w:r w:rsidR="00BD6E2B" w:rsidRPr="00635D77">
        <w:rPr>
          <w:b/>
        </w:rPr>
        <w:t>12</w:t>
      </w:r>
      <w:r w:rsidRPr="00635D77">
        <w:rPr>
          <w:b/>
        </w:rPr>
        <w:t>-</w:t>
      </w:r>
      <w:r w:rsidR="00BD6E2B" w:rsidRPr="00635D77">
        <w:rPr>
          <w:b/>
        </w:rPr>
        <w:t>point, Times New Roman font</w:t>
      </w:r>
    </w:p>
    <w:p w14:paraId="6FA04410" w14:textId="568C5DA1" w:rsidR="00347A38" w:rsidRPr="00635D77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Specific Achie</w:t>
      </w:r>
      <w:r w:rsidR="00BD6E2B" w:rsidRPr="00635D77">
        <w:t>vements</w:t>
      </w:r>
      <w:r w:rsidR="003F2855" w:rsidRPr="00635D77">
        <w:t xml:space="preserve"> (50 points)</w:t>
      </w:r>
      <w:r w:rsidRPr="00635D77">
        <w:t xml:space="preserve">:  </w:t>
      </w:r>
    </w:p>
    <w:p w14:paraId="72601BCF" w14:textId="3C91082F" w:rsidR="00347A38" w:rsidRPr="00635D77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Value of the Nominee’s Contributions</w:t>
      </w:r>
      <w:r w:rsidR="003F2855" w:rsidRPr="00635D77">
        <w:t xml:space="preserve"> (30 points)</w:t>
      </w:r>
      <w:r w:rsidRPr="00635D77">
        <w:t xml:space="preserve">:  </w:t>
      </w:r>
    </w:p>
    <w:p w14:paraId="6C17DA18" w14:textId="24D8DE90" w:rsidR="00BD6E2B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Demonstration of Leadership</w:t>
      </w:r>
      <w:r w:rsidR="003F2855" w:rsidRPr="00635D77">
        <w:t xml:space="preserve"> (20 points)</w:t>
      </w:r>
      <w:r w:rsidRPr="00635D77">
        <w:t>:</w:t>
      </w:r>
    </w:p>
    <w:p w14:paraId="2EDEF8A7" w14:textId="5277B155" w:rsidR="004375DD" w:rsidRDefault="004375DD" w:rsidP="004375DD">
      <w:pPr>
        <w:tabs>
          <w:tab w:val="left" w:pos="360"/>
          <w:tab w:val="left" w:pos="720"/>
        </w:tabs>
        <w:spacing w:line="238" w:lineRule="auto"/>
      </w:pPr>
    </w:p>
    <w:p w14:paraId="54DAED75" w14:textId="30C3164C" w:rsidR="004375DD" w:rsidRDefault="004375DD" w:rsidP="004375DD">
      <w:pPr>
        <w:tabs>
          <w:tab w:val="left" w:pos="360"/>
          <w:tab w:val="left" w:pos="720"/>
        </w:tabs>
        <w:spacing w:line="238" w:lineRule="auto"/>
      </w:pPr>
    </w:p>
    <w:p w14:paraId="0EE32BD9" w14:textId="77777777" w:rsidR="005F1EE6" w:rsidRPr="00635D77" w:rsidRDefault="005F1EE6" w:rsidP="005F1EE6">
      <w:pPr>
        <w:spacing w:after="200" w:line="276" w:lineRule="auto"/>
        <w:rPr>
          <w:b/>
        </w:rPr>
      </w:pPr>
      <w:r w:rsidRPr="00635D77">
        <w:rPr>
          <w:b/>
          <w:u w:val="single"/>
        </w:rPr>
        <w:t>AWARD CITATION</w:t>
      </w:r>
      <w:r w:rsidRPr="00635D77">
        <w:rPr>
          <w:b/>
        </w:rPr>
        <w:t xml:space="preserve">:  </w:t>
      </w:r>
    </w:p>
    <w:p w14:paraId="3C15CE04" w14:textId="77777777" w:rsidR="005F1EE6" w:rsidRPr="007256D9" w:rsidRDefault="005F1EE6" w:rsidP="005F1EE6">
      <w:pPr>
        <w:tabs>
          <w:tab w:val="left" w:pos="360"/>
          <w:tab w:val="left" w:pos="720"/>
        </w:tabs>
        <w:spacing w:line="238" w:lineRule="auto"/>
        <w:rPr>
          <w:b/>
          <w:u w:val="single"/>
        </w:rPr>
      </w:pPr>
      <w:r w:rsidRPr="00635D77">
        <w:rPr>
          <w:b/>
        </w:rPr>
        <w:t>One page; not to exceed 200 words</w:t>
      </w:r>
      <w:r>
        <w:rPr>
          <w:b/>
        </w:rPr>
        <w:t>; 12-point, Times New Roman font (may be used for various recognition purposes; e.g., Defense Acquisition Magazine)</w:t>
      </w:r>
      <w:r w:rsidRPr="002D6BE7">
        <w:rPr>
          <w:b/>
        </w:rPr>
        <w:t xml:space="preserve"> </w:t>
      </w:r>
    </w:p>
    <w:p w14:paraId="0E7C052E" w14:textId="77777777" w:rsidR="004375DD" w:rsidRPr="007256D9" w:rsidRDefault="004375DD">
      <w:pPr>
        <w:tabs>
          <w:tab w:val="left" w:pos="360"/>
          <w:tab w:val="left" w:pos="720"/>
        </w:tabs>
        <w:spacing w:line="238" w:lineRule="auto"/>
        <w:rPr>
          <w:b/>
          <w:u w:val="single"/>
        </w:rPr>
      </w:pPr>
    </w:p>
    <w:sectPr w:rsidR="004375DD" w:rsidRPr="007256D9" w:rsidSect="00347A38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E1BD" w14:textId="77777777" w:rsidR="0001761C" w:rsidRDefault="0001761C" w:rsidP="00347A38">
      <w:r>
        <w:separator/>
      </w:r>
    </w:p>
  </w:endnote>
  <w:endnote w:type="continuationSeparator" w:id="0">
    <w:p w14:paraId="69A04AEF" w14:textId="77777777" w:rsidR="0001761C" w:rsidRDefault="0001761C" w:rsidP="003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BDC2" w14:textId="2CA7D73F" w:rsidR="007A7689" w:rsidRDefault="00126E8F" w:rsidP="00E26C42">
    <w:pPr>
      <w:pStyle w:val="Footer"/>
      <w:tabs>
        <w:tab w:val="left" w:pos="4320"/>
      </w:tabs>
      <w:jc w:val="center"/>
    </w:pPr>
    <w:sdt>
      <w:sdtPr>
        <w:id w:val="30820797"/>
        <w:docPartObj>
          <w:docPartGallery w:val="Page Numbers (Bottom of Page)"/>
          <w:docPartUnique/>
        </w:docPartObj>
      </w:sdtPr>
      <w:sdtEndPr/>
      <w:sdtContent>
        <w:r w:rsidR="005865C7">
          <w:fldChar w:fldCharType="begin"/>
        </w:r>
        <w:r w:rsidR="005865C7">
          <w:instrText xml:space="preserve"> PAGE   \* MERGEFORMAT </w:instrText>
        </w:r>
        <w:r w:rsidR="005865C7">
          <w:fldChar w:fldCharType="separate"/>
        </w:r>
        <w:r>
          <w:rPr>
            <w:noProof/>
          </w:rPr>
          <w:t>5</w:t>
        </w:r>
        <w:r w:rsidR="005865C7">
          <w:rPr>
            <w:noProof/>
          </w:rPr>
          <w:fldChar w:fldCharType="end"/>
        </w:r>
      </w:sdtContent>
    </w:sdt>
  </w:p>
  <w:p w14:paraId="4F40B948" w14:textId="320F754C" w:rsidR="00347A38" w:rsidRDefault="0032317E" w:rsidP="00A73C1D">
    <w:pPr>
      <w:pStyle w:val="Footer"/>
      <w:tabs>
        <w:tab w:val="left" w:pos="4320"/>
      </w:tabs>
      <w:jc w:val="right"/>
    </w:pPr>
    <w:r>
      <w:t>A</w:t>
    </w:r>
    <w:r w:rsidR="009A5BF4">
      <w:t>TTACHMENT</w:t>
    </w:r>
    <w:r w:rsidR="00775231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8368" w14:textId="617BA75A" w:rsidR="00347A38" w:rsidRDefault="0032317E" w:rsidP="00347A38">
    <w:pPr>
      <w:pStyle w:val="Footer"/>
      <w:jc w:val="right"/>
    </w:pPr>
    <w:r>
      <w:t>A</w:t>
    </w:r>
    <w:r w:rsidR="00FB28FF">
      <w:t>TTACHMENT</w:t>
    </w:r>
    <w:r w:rsidR="00775231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1D72" w14:textId="77777777" w:rsidR="0001761C" w:rsidRDefault="0001761C" w:rsidP="00347A38">
      <w:r>
        <w:separator/>
      </w:r>
    </w:p>
  </w:footnote>
  <w:footnote w:type="continuationSeparator" w:id="0">
    <w:p w14:paraId="4F48242E" w14:textId="77777777" w:rsidR="0001761C" w:rsidRDefault="0001761C" w:rsidP="0034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01DB" w14:textId="6F4EA8D0" w:rsidR="0030751F" w:rsidRDefault="0030751F" w:rsidP="0030751F">
    <w:pPr>
      <w:pStyle w:val="Header"/>
      <w:jc w:val="center"/>
    </w:pPr>
    <w:r>
      <w:rPr>
        <w:noProof/>
      </w:rPr>
      <w:drawing>
        <wp:inline distT="0" distB="0" distL="0" distR="0" wp14:anchorId="7871D64F" wp14:editId="42378B9C">
          <wp:extent cx="731520" cy="731520"/>
          <wp:effectExtent l="0" t="0" r="0" b="0"/>
          <wp:docPr id="2" name="Picture 2" descr="500px-United_States_Department_of_Defense_Se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px-United_States_Department_of_Defense_Se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3967" w14:textId="77777777" w:rsidR="0030751F" w:rsidRDefault="0030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21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1" w15:restartNumberingAfterBreak="0">
    <w:nsid w:val="63AE55B5"/>
    <w:multiLevelType w:val="hybridMultilevel"/>
    <w:tmpl w:val="A3A0C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444"/>
    <w:multiLevelType w:val="hybridMultilevel"/>
    <w:tmpl w:val="0A32859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D165A"/>
    <w:multiLevelType w:val="hybridMultilevel"/>
    <w:tmpl w:val="8A0EB5E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295"/>
    <w:multiLevelType w:val="hybridMultilevel"/>
    <w:tmpl w:val="37AC205C"/>
    <w:lvl w:ilvl="0" w:tplc="D3700578">
      <w:start w:val="1"/>
      <w:numFmt w:val="lowerLetter"/>
      <w:suff w:val="space"/>
      <w:lvlText w:val="%1."/>
      <w:lvlJc w:val="left"/>
      <w:pPr>
        <w:ind w:left="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21471"/>
    <w:multiLevelType w:val="hybridMultilevel"/>
    <w:tmpl w:val="FA6466A2"/>
    <w:lvl w:ilvl="0" w:tplc="C004F1F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A0126682">
      <w:start w:val="1"/>
      <w:numFmt w:val="lowerLetter"/>
      <w:suff w:val="space"/>
      <w:lvlText w:val="%2."/>
      <w:lvlJc w:val="left"/>
      <w:pPr>
        <w:ind w:left="0" w:firstLine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6">
    <w:abstractNumId w:val="2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8"/>
    <w:rsid w:val="000004E6"/>
    <w:rsid w:val="00007B00"/>
    <w:rsid w:val="0001761C"/>
    <w:rsid w:val="00021CFF"/>
    <w:rsid w:val="00025216"/>
    <w:rsid w:val="00025995"/>
    <w:rsid w:val="0003413B"/>
    <w:rsid w:val="000371BF"/>
    <w:rsid w:val="000400FF"/>
    <w:rsid w:val="0004371C"/>
    <w:rsid w:val="000450AD"/>
    <w:rsid w:val="00074EDF"/>
    <w:rsid w:val="00075856"/>
    <w:rsid w:val="00093007"/>
    <w:rsid w:val="00094BA9"/>
    <w:rsid w:val="0009727E"/>
    <w:rsid w:val="000B1308"/>
    <w:rsid w:val="000C2BF1"/>
    <w:rsid w:val="000C4012"/>
    <w:rsid w:val="000D48AF"/>
    <w:rsid w:val="000F3AA3"/>
    <w:rsid w:val="000F5DF6"/>
    <w:rsid w:val="00110C59"/>
    <w:rsid w:val="00120017"/>
    <w:rsid w:val="00126E8F"/>
    <w:rsid w:val="00141A14"/>
    <w:rsid w:val="00153066"/>
    <w:rsid w:val="00157D4E"/>
    <w:rsid w:val="00170EC0"/>
    <w:rsid w:val="00173DCC"/>
    <w:rsid w:val="001A34AD"/>
    <w:rsid w:val="001A5394"/>
    <w:rsid w:val="001B349B"/>
    <w:rsid w:val="001C3B72"/>
    <w:rsid w:val="001C716A"/>
    <w:rsid w:val="001D010C"/>
    <w:rsid w:val="001D0E11"/>
    <w:rsid w:val="001D7F49"/>
    <w:rsid w:val="001E1544"/>
    <w:rsid w:val="001E2A1C"/>
    <w:rsid w:val="001E3881"/>
    <w:rsid w:val="001E5817"/>
    <w:rsid w:val="001E6681"/>
    <w:rsid w:val="001E7BCE"/>
    <w:rsid w:val="00200184"/>
    <w:rsid w:val="002030FE"/>
    <w:rsid w:val="002047BC"/>
    <w:rsid w:val="00213ADD"/>
    <w:rsid w:val="00224C73"/>
    <w:rsid w:val="00230263"/>
    <w:rsid w:val="00231174"/>
    <w:rsid w:val="00245F5E"/>
    <w:rsid w:val="00253285"/>
    <w:rsid w:val="00262239"/>
    <w:rsid w:val="00262827"/>
    <w:rsid w:val="00281C36"/>
    <w:rsid w:val="00291DF5"/>
    <w:rsid w:val="00294798"/>
    <w:rsid w:val="002A429D"/>
    <w:rsid w:val="002A721E"/>
    <w:rsid w:val="002B54C5"/>
    <w:rsid w:val="002D0B07"/>
    <w:rsid w:val="002D1C4B"/>
    <w:rsid w:val="002D6BE7"/>
    <w:rsid w:val="002E132F"/>
    <w:rsid w:val="002F6387"/>
    <w:rsid w:val="0030751F"/>
    <w:rsid w:val="0032317E"/>
    <w:rsid w:val="003254B0"/>
    <w:rsid w:val="00344884"/>
    <w:rsid w:val="00347A38"/>
    <w:rsid w:val="00354A13"/>
    <w:rsid w:val="00365116"/>
    <w:rsid w:val="00367D81"/>
    <w:rsid w:val="00375DCB"/>
    <w:rsid w:val="0037719E"/>
    <w:rsid w:val="00382112"/>
    <w:rsid w:val="00387072"/>
    <w:rsid w:val="003906FA"/>
    <w:rsid w:val="003B3587"/>
    <w:rsid w:val="003D102E"/>
    <w:rsid w:val="003D486F"/>
    <w:rsid w:val="003D56BA"/>
    <w:rsid w:val="003E20D4"/>
    <w:rsid w:val="003E211D"/>
    <w:rsid w:val="003E3599"/>
    <w:rsid w:val="003E3EDF"/>
    <w:rsid w:val="003F1A43"/>
    <w:rsid w:val="003F22CC"/>
    <w:rsid w:val="003F2855"/>
    <w:rsid w:val="003F340B"/>
    <w:rsid w:val="00402C82"/>
    <w:rsid w:val="004063C5"/>
    <w:rsid w:val="00417904"/>
    <w:rsid w:val="0041794C"/>
    <w:rsid w:val="00422140"/>
    <w:rsid w:val="00432BE2"/>
    <w:rsid w:val="0043307A"/>
    <w:rsid w:val="004375DD"/>
    <w:rsid w:val="00440909"/>
    <w:rsid w:val="00465487"/>
    <w:rsid w:val="004908F5"/>
    <w:rsid w:val="00494BC7"/>
    <w:rsid w:val="0049766C"/>
    <w:rsid w:val="004A1787"/>
    <w:rsid w:val="004B0D3A"/>
    <w:rsid w:val="004B583A"/>
    <w:rsid w:val="004B650D"/>
    <w:rsid w:val="004B6DE3"/>
    <w:rsid w:val="004C0252"/>
    <w:rsid w:val="004C2354"/>
    <w:rsid w:val="004C3517"/>
    <w:rsid w:val="004D2582"/>
    <w:rsid w:val="004D6C8B"/>
    <w:rsid w:val="004E7500"/>
    <w:rsid w:val="004F010E"/>
    <w:rsid w:val="004F4EF0"/>
    <w:rsid w:val="004F6118"/>
    <w:rsid w:val="00511AEA"/>
    <w:rsid w:val="00514F0E"/>
    <w:rsid w:val="00521297"/>
    <w:rsid w:val="00521BB9"/>
    <w:rsid w:val="005242A7"/>
    <w:rsid w:val="005255F8"/>
    <w:rsid w:val="00525B2C"/>
    <w:rsid w:val="005270D3"/>
    <w:rsid w:val="00531D84"/>
    <w:rsid w:val="00534474"/>
    <w:rsid w:val="00543B1E"/>
    <w:rsid w:val="0055130B"/>
    <w:rsid w:val="0056372B"/>
    <w:rsid w:val="00565E9B"/>
    <w:rsid w:val="00565EA3"/>
    <w:rsid w:val="00582EF5"/>
    <w:rsid w:val="005865C7"/>
    <w:rsid w:val="00595E87"/>
    <w:rsid w:val="005A0338"/>
    <w:rsid w:val="005B4C55"/>
    <w:rsid w:val="005C0F9E"/>
    <w:rsid w:val="005F122F"/>
    <w:rsid w:val="005F1EE6"/>
    <w:rsid w:val="005F3E37"/>
    <w:rsid w:val="005F660C"/>
    <w:rsid w:val="006001B3"/>
    <w:rsid w:val="00606003"/>
    <w:rsid w:val="00611E47"/>
    <w:rsid w:val="006200EC"/>
    <w:rsid w:val="00620D45"/>
    <w:rsid w:val="00622C2D"/>
    <w:rsid w:val="00630795"/>
    <w:rsid w:val="006307A1"/>
    <w:rsid w:val="00635D77"/>
    <w:rsid w:val="00636E4B"/>
    <w:rsid w:val="006376A2"/>
    <w:rsid w:val="00643055"/>
    <w:rsid w:val="006475BF"/>
    <w:rsid w:val="006734D6"/>
    <w:rsid w:val="00681E4B"/>
    <w:rsid w:val="00683C58"/>
    <w:rsid w:val="00690E47"/>
    <w:rsid w:val="00692D98"/>
    <w:rsid w:val="00696D1F"/>
    <w:rsid w:val="006A7486"/>
    <w:rsid w:val="006B09F8"/>
    <w:rsid w:val="006B731A"/>
    <w:rsid w:val="006C03FB"/>
    <w:rsid w:val="006C7C87"/>
    <w:rsid w:val="006D09D2"/>
    <w:rsid w:val="006E3B61"/>
    <w:rsid w:val="006E4474"/>
    <w:rsid w:val="006F3D3E"/>
    <w:rsid w:val="00705D7B"/>
    <w:rsid w:val="0071103C"/>
    <w:rsid w:val="00713004"/>
    <w:rsid w:val="007256D9"/>
    <w:rsid w:val="007302A3"/>
    <w:rsid w:val="007318C2"/>
    <w:rsid w:val="00737610"/>
    <w:rsid w:val="007529FD"/>
    <w:rsid w:val="00765AF9"/>
    <w:rsid w:val="00765CBE"/>
    <w:rsid w:val="007661E2"/>
    <w:rsid w:val="007666E3"/>
    <w:rsid w:val="00775231"/>
    <w:rsid w:val="00792999"/>
    <w:rsid w:val="00794D12"/>
    <w:rsid w:val="00795A29"/>
    <w:rsid w:val="00796C1E"/>
    <w:rsid w:val="007A0C82"/>
    <w:rsid w:val="007A15DA"/>
    <w:rsid w:val="007A7689"/>
    <w:rsid w:val="007A7E2D"/>
    <w:rsid w:val="007B64EB"/>
    <w:rsid w:val="007C31B6"/>
    <w:rsid w:val="007C5C4F"/>
    <w:rsid w:val="007D3A65"/>
    <w:rsid w:val="007E0301"/>
    <w:rsid w:val="007E0483"/>
    <w:rsid w:val="007E19ED"/>
    <w:rsid w:val="007E1E37"/>
    <w:rsid w:val="007F234E"/>
    <w:rsid w:val="0081181D"/>
    <w:rsid w:val="008124FE"/>
    <w:rsid w:val="008146C3"/>
    <w:rsid w:val="008536BE"/>
    <w:rsid w:val="00860C32"/>
    <w:rsid w:val="0086401E"/>
    <w:rsid w:val="00880283"/>
    <w:rsid w:val="00884799"/>
    <w:rsid w:val="008857B2"/>
    <w:rsid w:val="008B4D8A"/>
    <w:rsid w:val="008C07CD"/>
    <w:rsid w:val="008D5CA4"/>
    <w:rsid w:val="008F0D1B"/>
    <w:rsid w:val="008F2896"/>
    <w:rsid w:val="009061A6"/>
    <w:rsid w:val="00913D94"/>
    <w:rsid w:val="0092164D"/>
    <w:rsid w:val="00924A67"/>
    <w:rsid w:val="00927909"/>
    <w:rsid w:val="00931A33"/>
    <w:rsid w:val="00950113"/>
    <w:rsid w:val="009538C7"/>
    <w:rsid w:val="00953FCA"/>
    <w:rsid w:val="00977B5B"/>
    <w:rsid w:val="00980C83"/>
    <w:rsid w:val="00985A3D"/>
    <w:rsid w:val="00996AA1"/>
    <w:rsid w:val="009A5BF4"/>
    <w:rsid w:val="009B5D4E"/>
    <w:rsid w:val="009C26F3"/>
    <w:rsid w:val="009D5F2D"/>
    <w:rsid w:val="009E0EEE"/>
    <w:rsid w:val="009E1652"/>
    <w:rsid w:val="009E5661"/>
    <w:rsid w:val="009F0F41"/>
    <w:rsid w:val="00A02F91"/>
    <w:rsid w:val="00A0517A"/>
    <w:rsid w:val="00A068F8"/>
    <w:rsid w:val="00A07BE2"/>
    <w:rsid w:val="00A2037C"/>
    <w:rsid w:val="00A205AD"/>
    <w:rsid w:val="00A375D5"/>
    <w:rsid w:val="00A425D8"/>
    <w:rsid w:val="00A45080"/>
    <w:rsid w:val="00A532E4"/>
    <w:rsid w:val="00A65CF1"/>
    <w:rsid w:val="00A73C1D"/>
    <w:rsid w:val="00A75E14"/>
    <w:rsid w:val="00A77A29"/>
    <w:rsid w:val="00A8278C"/>
    <w:rsid w:val="00AB2AB1"/>
    <w:rsid w:val="00AC156B"/>
    <w:rsid w:val="00AC235E"/>
    <w:rsid w:val="00AC29A3"/>
    <w:rsid w:val="00AC639D"/>
    <w:rsid w:val="00AC6783"/>
    <w:rsid w:val="00AD2D0F"/>
    <w:rsid w:val="00AF554D"/>
    <w:rsid w:val="00B30BCA"/>
    <w:rsid w:val="00B36118"/>
    <w:rsid w:val="00B3638D"/>
    <w:rsid w:val="00B77381"/>
    <w:rsid w:val="00B84693"/>
    <w:rsid w:val="00B850C7"/>
    <w:rsid w:val="00BA01CB"/>
    <w:rsid w:val="00BA259A"/>
    <w:rsid w:val="00BA6AE0"/>
    <w:rsid w:val="00BA77DB"/>
    <w:rsid w:val="00BB1B5A"/>
    <w:rsid w:val="00BD6E2B"/>
    <w:rsid w:val="00BE3545"/>
    <w:rsid w:val="00BE57D0"/>
    <w:rsid w:val="00BF4EBF"/>
    <w:rsid w:val="00C0172C"/>
    <w:rsid w:val="00C07925"/>
    <w:rsid w:val="00C611E2"/>
    <w:rsid w:val="00C72C52"/>
    <w:rsid w:val="00C826F2"/>
    <w:rsid w:val="00C82B79"/>
    <w:rsid w:val="00C8757F"/>
    <w:rsid w:val="00C93A30"/>
    <w:rsid w:val="00C95DEA"/>
    <w:rsid w:val="00CC500B"/>
    <w:rsid w:val="00CC5208"/>
    <w:rsid w:val="00CC6306"/>
    <w:rsid w:val="00CD1011"/>
    <w:rsid w:val="00CD598E"/>
    <w:rsid w:val="00D065B0"/>
    <w:rsid w:val="00D16C51"/>
    <w:rsid w:val="00D178B9"/>
    <w:rsid w:val="00D5562A"/>
    <w:rsid w:val="00D66E1F"/>
    <w:rsid w:val="00D67304"/>
    <w:rsid w:val="00D76324"/>
    <w:rsid w:val="00D80732"/>
    <w:rsid w:val="00D94D8C"/>
    <w:rsid w:val="00DA228B"/>
    <w:rsid w:val="00DA72DD"/>
    <w:rsid w:val="00DB3D75"/>
    <w:rsid w:val="00DC7D45"/>
    <w:rsid w:val="00DD3D70"/>
    <w:rsid w:val="00DD625E"/>
    <w:rsid w:val="00DE6F9E"/>
    <w:rsid w:val="00DF0887"/>
    <w:rsid w:val="00DF3783"/>
    <w:rsid w:val="00E01C4D"/>
    <w:rsid w:val="00E15FE5"/>
    <w:rsid w:val="00E20A23"/>
    <w:rsid w:val="00E24D35"/>
    <w:rsid w:val="00E26C42"/>
    <w:rsid w:val="00E272F3"/>
    <w:rsid w:val="00E31985"/>
    <w:rsid w:val="00E3478F"/>
    <w:rsid w:val="00E57324"/>
    <w:rsid w:val="00E604E5"/>
    <w:rsid w:val="00E61DEF"/>
    <w:rsid w:val="00E84E4B"/>
    <w:rsid w:val="00EA58B6"/>
    <w:rsid w:val="00EC2C38"/>
    <w:rsid w:val="00EC7FAF"/>
    <w:rsid w:val="00EE1BC8"/>
    <w:rsid w:val="00EE58FD"/>
    <w:rsid w:val="00EF6DDD"/>
    <w:rsid w:val="00F068B7"/>
    <w:rsid w:val="00F074B0"/>
    <w:rsid w:val="00F20BC2"/>
    <w:rsid w:val="00F2292F"/>
    <w:rsid w:val="00F23798"/>
    <w:rsid w:val="00F3161F"/>
    <w:rsid w:val="00F40A56"/>
    <w:rsid w:val="00F4523E"/>
    <w:rsid w:val="00F46A5D"/>
    <w:rsid w:val="00F628B3"/>
    <w:rsid w:val="00F70330"/>
    <w:rsid w:val="00F711F7"/>
    <w:rsid w:val="00FA0B0A"/>
    <w:rsid w:val="00FA37F9"/>
    <w:rsid w:val="00FA5E42"/>
    <w:rsid w:val="00FA7655"/>
    <w:rsid w:val="00FB23D1"/>
    <w:rsid w:val="00FB28FF"/>
    <w:rsid w:val="00FB63EE"/>
    <w:rsid w:val="00FC257D"/>
    <w:rsid w:val="00FC3997"/>
    <w:rsid w:val="00FD2AE1"/>
    <w:rsid w:val="00FD4219"/>
    <w:rsid w:val="00FD4DF0"/>
    <w:rsid w:val="00FD7122"/>
    <w:rsid w:val="00FD7501"/>
    <w:rsid w:val="00FE08CC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0DA796AD"/>
  <w15:docId w15:val="{2F38874E-FFE0-4AFB-A6BD-A76ECEC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9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235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479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798"/>
    <w:rPr>
      <w:rFonts w:ascii="Calibri" w:hAnsi="Calibri"/>
      <w:szCs w:val="21"/>
    </w:rPr>
  </w:style>
  <w:style w:type="paragraph" w:styleId="NoSpacing">
    <w:name w:val="No Spacing"/>
    <w:uiPriority w:val="1"/>
    <w:qFormat/>
    <w:rsid w:val="0029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2D230161B34EBE6AB1FA34A01C3E" ma:contentTypeVersion="0" ma:contentTypeDescription="Create a new document." ma:contentTypeScope="" ma:versionID="a25db83d5262e4656d837360ce9ed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0BC7-1CDA-4984-9F55-20CCA9988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A12D4-37B8-4866-B1EB-4AAF182D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1D30C-55D6-4076-915D-DDA3CA79C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F9433D-76B7-4FB7-A56C-8C15465A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tarnosln</dc:creator>
  <cp:lastModifiedBy>Sizer, Maggie - CTR</cp:lastModifiedBy>
  <cp:revision>2</cp:revision>
  <cp:lastPrinted>2020-04-20T11:32:00Z</cp:lastPrinted>
  <dcterms:created xsi:type="dcterms:W3CDTF">2020-04-23T15:44:00Z</dcterms:created>
  <dcterms:modified xsi:type="dcterms:W3CDTF">2020-04-23T15:44:00Z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0x01010005E52D230161B34EBE6AB1FA34A01C3E</vt:lpwstr>
  </property>
</Properties>
</file>